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CB9" w:rsidRPr="00B76CB9" w:rsidRDefault="00B76CB9" w:rsidP="001C6D42">
      <w:pPr>
        <w:pStyle w:val="normal0"/>
        <w:rPr>
          <w:sz w:val="24"/>
          <w:szCs w:val="24"/>
        </w:rPr>
      </w:pPr>
      <w:r w:rsidRPr="00B76CB9">
        <w:rPr>
          <w:noProof/>
          <w:sz w:val="24"/>
          <w:szCs w:val="24"/>
          <w:lang w:val="en-AU" w:eastAsia="en-AU"/>
        </w:rPr>
        <w:drawing>
          <wp:anchor distT="114300" distB="114300" distL="114300" distR="114300" simplePos="0" relativeHeight="251658240" behindDoc="0" locked="0" layoutInCell="0" allowOverlap="0">
            <wp:simplePos x="0" y="0"/>
            <wp:positionH relativeFrom="margin">
              <wp:posOffset>-52070</wp:posOffset>
            </wp:positionH>
            <wp:positionV relativeFrom="paragraph">
              <wp:posOffset>-302895</wp:posOffset>
            </wp:positionV>
            <wp:extent cx="2060575" cy="688975"/>
            <wp:effectExtent l="1905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2060575" cy="688975"/>
                    </a:xfrm>
                    <a:prstGeom prst="rect">
                      <a:avLst/>
                    </a:prstGeom>
                    <a:ln/>
                  </pic:spPr>
                </pic:pic>
              </a:graphicData>
            </a:graphic>
          </wp:anchor>
        </w:drawing>
      </w:r>
      <w:r w:rsidRPr="00B76CB9">
        <w:rPr>
          <w:rFonts w:eastAsia="Cambria" w:cs="Cambria"/>
          <w:sz w:val="24"/>
          <w:szCs w:val="24"/>
        </w:rPr>
        <w:t xml:space="preserve">Australasian Journal of Educational Technology (AJET) </w:t>
      </w:r>
    </w:p>
    <w:p w:rsidR="00B76CB9" w:rsidRDefault="00B76CB9" w:rsidP="001C6D42">
      <w:pPr>
        <w:pStyle w:val="normal0"/>
        <w:rPr>
          <w:rFonts w:eastAsia="Cambria" w:cs="Cambria"/>
          <w:sz w:val="24"/>
          <w:szCs w:val="24"/>
        </w:rPr>
      </w:pPr>
      <w:r w:rsidRPr="00B76CB9">
        <w:rPr>
          <w:rFonts w:eastAsia="Cambria" w:cs="Cambria"/>
          <w:sz w:val="24"/>
          <w:szCs w:val="24"/>
        </w:rPr>
        <w:t>Special</w:t>
      </w:r>
      <w:r>
        <w:rPr>
          <w:rFonts w:eastAsia="Cambria" w:cs="Cambria"/>
          <w:sz w:val="24"/>
          <w:szCs w:val="24"/>
        </w:rPr>
        <w:t xml:space="preserve"> Issue 2015 - Call for </w:t>
      </w:r>
      <w:r w:rsidR="002B31B2">
        <w:rPr>
          <w:rFonts w:eastAsia="Cambria" w:cs="Cambria"/>
          <w:sz w:val="24"/>
          <w:szCs w:val="24"/>
        </w:rPr>
        <w:t>Papers</w:t>
      </w:r>
      <w:bookmarkStart w:id="0" w:name="_GoBack"/>
      <w:bookmarkEnd w:id="0"/>
    </w:p>
    <w:p w:rsidR="00B76CB9" w:rsidRDefault="002A414C" w:rsidP="00B76CB9">
      <w:pPr>
        <w:pStyle w:val="normal0"/>
        <w:jc w:val="center"/>
        <w:rPr>
          <w:rFonts w:asciiTheme="minorHAnsi" w:eastAsia="Cambria" w:hAnsiTheme="minorHAnsi" w:cs="Cambria"/>
          <w:b/>
          <w:sz w:val="28"/>
          <w:szCs w:val="28"/>
        </w:rPr>
      </w:pPr>
      <w:r w:rsidRPr="002A414C">
        <w:rPr>
          <w:rFonts w:asciiTheme="minorHAnsi" w:eastAsia="Cambria" w:hAnsiTheme="minorHAnsi" w:cs="Cambria"/>
          <w:b/>
          <w:noProof/>
          <w:sz w:val="28"/>
          <w:szCs w:val="28"/>
        </w:rPr>
        <w:pict>
          <v:line id="Straight Connector 3" o:spid="_x0000_s1026" style="position:absolute;left:0;text-align:left;z-index:251659264;visibility:visible" from="-170.95pt,8.55pt" to="297.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DI2uEBAAAYBAAADgAAAGRycy9lMm9Eb2MueG1srFPbjtMwEH1H4h8sv9OkLVtB1HQfulpeEFQs&#10;fIDrjBNLvmlsmvbvGTttdgVIKyHy4Pgy58yc4/H2/mwNOwFG7V3Ll4uaM3DSd9r1Lf/x/fHdB85i&#10;Eq4Txjto+QUiv9+9fbMdQwMrP3jTATIicbEZQ8uHlEJTVVEOYEVc+ACODpVHKxItsa86FCOxW1Ot&#10;6npTjR67gF5CjLT7MB3yXeFXCmT6qlSExEzLqbZURizjMY/VbiuaHkUYtLyWIf6hCiu0o6Qz1YNI&#10;gv1E/QeV1RJ99CotpLeVV0pLKBpIzbL+Tc3TIAIULWRODLNN8f/Ryi+nAzLdtXzNmROWrugpodD9&#10;kNjeO0cGemTr7NMYYkPhe3fA6yqGA2bRZ4U2/0kOOxdvL7O3cE5M0ubdx/frTU1XIG9n1TMwYEyf&#10;wFuWJy032mXZohGnzzFRMgq9heRt49jY8s36LtPZQMVH1xdA9EZ3j9qYHBaxP+4NspPIl1++rIPI&#10;XoTRyjjazOomPWWWLgamVN9AkT+kYDVlyJ0JM62QElxaXnmNo+gMU1TCDKxfB17jMxRK187g5evg&#10;GVEye5dmsNXO498I0vlWspribw5MurMFR99dyk0Xa6j9inPXp5L7++W6wJ8f9O4XAAAA//8DAFBL&#10;AwQUAAYACAAAACEA7Nzg298AAAAKAQAADwAAAGRycy9kb3ducmV2LnhtbEyPzU7DMBCE70i8g7VI&#10;3FonUKANcSqEhJQLgv6oXJ14SSLsdRS7afr2LOIAt92d0ew3+XpyVow4hM6TgnSegECqvemoUbDf&#10;vcyWIELUZLT1hArOGGBdXF7kOjP+RBsct7ERHEIh0wraGPtMylC36HSY+x6JtU8/OB15HRppBn3i&#10;cGflTZLcS6c74g+t7vG5xfpre3QK6som5X4ay125Ob+SHd3H+9tBqeur6ekRRMQp/pnhB5/RoWCm&#10;yh/JBGEVzG4X6Yq9rDykINhxt1rwUP0eZJHL/xWKbwAAAP//AwBQSwECLQAUAAYACAAAACEA5JnD&#10;wPsAAADhAQAAEwAAAAAAAAAAAAAAAAAAAAAAW0NvbnRlbnRfVHlwZXNdLnhtbFBLAQItABQABgAI&#10;AAAAIQAjsmrh1wAAAJQBAAALAAAAAAAAAAAAAAAAACwBAABfcmVscy8ucmVsc1BLAQItABQABgAI&#10;AAAAIQDvgMja4QEAABgEAAAOAAAAAAAAAAAAAAAAACwCAABkcnMvZTJvRG9jLnhtbFBLAQItABQA&#10;BgAIAAAAIQDs3ODb3wAAAAoBAAAPAAAAAAAAAAAAAAAAADkEAABkcnMvZG93bnJldi54bWxQSwUG&#10;AAAAAAQABADzAAAARQUAAAAA&#10;" strokeweight=".5pt">
            <v:shadow on="t40000f" opacity="24903f" origin=",.5" offset="0,.55556mm"/>
          </v:line>
        </w:pict>
      </w:r>
    </w:p>
    <w:p w:rsidR="006000C8" w:rsidRPr="00B76CB9" w:rsidRDefault="00C0267A" w:rsidP="00C0267A">
      <w:pPr>
        <w:pStyle w:val="normal0"/>
        <w:jc w:val="center"/>
        <w:rPr>
          <w:rFonts w:asciiTheme="minorHAnsi" w:hAnsiTheme="minorHAnsi"/>
          <w:sz w:val="16"/>
          <w:szCs w:val="16"/>
        </w:rPr>
      </w:pPr>
      <w:r w:rsidRPr="00B76CB9">
        <w:rPr>
          <w:rFonts w:asciiTheme="minorHAnsi" w:eastAsia="Cambria" w:hAnsiTheme="minorHAnsi" w:cs="Cambria"/>
          <w:b/>
          <w:sz w:val="24"/>
          <w:szCs w:val="24"/>
        </w:rPr>
        <w:t xml:space="preserve">Educational Design Research for Technology-supported </w:t>
      </w:r>
      <w:r w:rsidR="006000C8" w:rsidRPr="00B76CB9">
        <w:rPr>
          <w:rFonts w:asciiTheme="minorHAnsi" w:eastAsia="Cambria" w:hAnsiTheme="minorHAnsi" w:cs="Cambria"/>
          <w:b/>
          <w:sz w:val="24"/>
          <w:szCs w:val="24"/>
        </w:rPr>
        <w:br/>
      </w:r>
      <w:r w:rsidRPr="00B76CB9">
        <w:rPr>
          <w:rFonts w:asciiTheme="minorHAnsi" w:eastAsia="Cambria" w:hAnsiTheme="minorHAnsi" w:cs="Cambria"/>
          <w:b/>
          <w:sz w:val="24"/>
          <w:szCs w:val="24"/>
        </w:rPr>
        <w:t>Post-secondary Learning</w:t>
      </w:r>
      <w:r w:rsidR="00B76CB9" w:rsidRPr="00B76CB9">
        <w:rPr>
          <w:rFonts w:asciiTheme="minorHAnsi" w:hAnsiTheme="minorHAnsi"/>
          <w:sz w:val="24"/>
          <w:szCs w:val="24"/>
        </w:rPr>
        <w:br/>
      </w:r>
    </w:p>
    <w:p w:rsidR="00F3192A" w:rsidRDefault="00C0267A">
      <w:pPr>
        <w:pStyle w:val="normal0"/>
      </w:pPr>
      <w:r>
        <w:rPr>
          <w:rFonts w:ascii="Cambria" w:eastAsia="Cambria" w:hAnsi="Cambria" w:cs="Cambria"/>
          <w:b/>
        </w:rPr>
        <w:t>Guest editors</w:t>
      </w:r>
    </w:p>
    <w:p w:rsidR="00F3192A" w:rsidRDefault="00C0267A">
      <w:pPr>
        <w:pStyle w:val="normal0"/>
      </w:pPr>
      <w:r>
        <w:rPr>
          <w:rFonts w:ascii="Cambria" w:eastAsia="Cambria" w:hAnsi="Cambria" w:cs="Cambria"/>
        </w:rPr>
        <w:t xml:space="preserve">Dr. Theodore J. (TJ) </w:t>
      </w:r>
      <w:proofErr w:type="spellStart"/>
      <w:r>
        <w:rPr>
          <w:rFonts w:ascii="Cambria" w:eastAsia="Cambria" w:hAnsi="Cambria" w:cs="Cambria"/>
        </w:rPr>
        <w:t>Kopcha</w:t>
      </w:r>
      <w:proofErr w:type="spellEnd"/>
      <w:r>
        <w:rPr>
          <w:rFonts w:ascii="Cambria" w:eastAsia="Cambria" w:hAnsi="Cambria" w:cs="Cambria"/>
        </w:rPr>
        <w:t xml:space="preserve">, Assistant Professor of Learning, Design, and Technology, Department of Career and Information Studies, University of Georgia, </w:t>
      </w:r>
      <w:hyperlink r:id="rId6">
        <w:r>
          <w:rPr>
            <w:rFonts w:ascii="Cambria" w:eastAsia="Cambria" w:hAnsi="Cambria" w:cs="Cambria"/>
            <w:color w:val="1155CC"/>
            <w:u w:val="single"/>
          </w:rPr>
          <w:t>tjkopcha@uga.edu</w:t>
        </w:r>
      </w:hyperlink>
      <w:hyperlink r:id="rId7"/>
    </w:p>
    <w:p w:rsidR="00F3192A" w:rsidRDefault="002A414C">
      <w:pPr>
        <w:pStyle w:val="normal0"/>
      </w:pPr>
      <w:hyperlink r:id="rId8"/>
    </w:p>
    <w:p w:rsidR="00F3192A" w:rsidRDefault="00C0267A">
      <w:pPr>
        <w:pStyle w:val="normal0"/>
      </w:pPr>
      <w:r>
        <w:rPr>
          <w:rFonts w:ascii="Cambria" w:eastAsia="Cambria" w:hAnsi="Cambria" w:cs="Cambria"/>
        </w:rPr>
        <w:t xml:space="preserve">Dr. Matthew Schmidt, Assistant Professor, Department of Learning, Design, and Technology, University of Hawaii, </w:t>
      </w:r>
      <w:hyperlink r:id="rId9">
        <w:r>
          <w:rPr>
            <w:rFonts w:ascii="Cambria" w:eastAsia="Cambria" w:hAnsi="Cambria" w:cs="Cambria"/>
            <w:color w:val="1155CC"/>
            <w:u w:val="single"/>
          </w:rPr>
          <w:t>matthew.schmidt@hawaii.edu</w:t>
        </w:r>
      </w:hyperlink>
      <w:r>
        <w:rPr>
          <w:rFonts w:ascii="Cambria" w:eastAsia="Cambria" w:hAnsi="Cambria" w:cs="Cambria"/>
        </w:rPr>
        <w:t xml:space="preserve"> </w:t>
      </w:r>
    </w:p>
    <w:p w:rsidR="00F3192A" w:rsidRDefault="00F3192A">
      <w:pPr>
        <w:pStyle w:val="normal0"/>
      </w:pPr>
    </w:p>
    <w:p w:rsidR="00F3192A" w:rsidRDefault="00C0267A">
      <w:pPr>
        <w:pStyle w:val="normal0"/>
      </w:pPr>
      <w:r>
        <w:rPr>
          <w:rFonts w:ascii="Cambria" w:eastAsia="Cambria" w:hAnsi="Cambria" w:cs="Cambria"/>
        </w:rPr>
        <w:t xml:space="preserve">Dr. Susan </w:t>
      </w:r>
      <w:proofErr w:type="spellStart"/>
      <w:r>
        <w:rPr>
          <w:rFonts w:ascii="Cambria" w:eastAsia="Cambria" w:hAnsi="Cambria" w:cs="Cambria"/>
        </w:rPr>
        <w:t>McKenney</w:t>
      </w:r>
      <w:proofErr w:type="spellEnd"/>
      <w:r>
        <w:rPr>
          <w:rFonts w:ascii="Cambria" w:eastAsia="Cambria" w:hAnsi="Cambria" w:cs="Cambria"/>
        </w:rPr>
        <w:t xml:space="preserve">, Associate Professor, Fostering Effective, Efficient and Enjoyable Learning (F3) Group at the </w:t>
      </w:r>
      <w:proofErr w:type="spellStart"/>
      <w:r>
        <w:rPr>
          <w:rFonts w:ascii="Cambria" w:eastAsia="Cambria" w:hAnsi="Cambria" w:cs="Cambria"/>
        </w:rPr>
        <w:t>Welten</w:t>
      </w:r>
      <w:proofErr w:type="spellEnd"/>
      <w:r>
        <w:rPr>
          <w:rFonts w:ascii="Cambria" w:eastAsia="Cambria" w:hAnsi="Cambria" w:cs="Cambria"/>
        </w:rPr>
        <w:t xml:space="preserve"> Institute || Open University of the Netherlands &amp; Department of Instructional Technology, University of </w:t>
      </w:r>
      <w:proofErr w:type="spellStart"/>
      <w:r>
        <w:rPr>
          <w:rFonts w:ascii="Cambria" w:eastAsia="Cambria" w:hAnsi="Cambria" w:cs="Cambria"/>
        </w:rPr>
        <w:t>Twente</w:t>
      </w:r>
      <w:proofErr w:type="spellEnd"/>
      <w:r>
        <w:rPr>
          <w:rFonts w:ascii="Cambria" w:eastAsia="Cambria" w:hAnsi="Cambria" w:cs="Cambria"/>
        </w:rPr>
        <w:t xml:space="preserve">, </w:t>
      </w:r>
      <w:hyperlink r:id="rId10">
        <w:r>
          <w:rPr>
            <w:rFonts w:ascii="Cambria" w:eastAsia="Cambria" w:hAnsi="Cambria" w:cs="Cambria"/>
            <w:color w:val="0000FF"/>
            <w:u w:val="single"/>
          </w:rPr>
          <w:t>S.E.Mckenney@utwente.nl</w:t>
        </w:r>
      </w:hyperlink>
      <w:r>
        <w:rPr>
          <w:rFonts w:ascii="Cambria" w:eastAsia="Cambria" w:hAnsi="Cambria" w:cs="Cambria"/>
        </w:rPr>
        <w:t xml:space="preserve"> </w:t>
      </w:r>
      <w:r>
        <w:rPr>
          <w:rFonts w:ascii="Cambria" w:eastAsia="Cambria" w:hAnsi="Cambria" w:cs="Cambria"/>
        </w:rPr>
        <w:br/>
      </w:r>
    </w:p>
    <w:p w:rsidR="00F3192A" w:rsidRDefault="00C0267A">
      <w:pPr>
        <w:pStyle w:val="normal0"/>
      </w:pPr>
      <w:r>
        <w:rPr>
          <w:rFonts w:ascii="Cambria" w:eastAsia="Cambria" w:hAnsi="Cambria" w:cs="Cambria"/>
          <w:b/>
        </w:rPr>
        <w:t xml:space="preserve">Introduction </w:t>
      </w:r>
    </w:p>
    <w:p w:rsidR="00F3192A" w:rsidRDefault="00C0267A">
      <w:pPr>
        <w:pStyle w:val="normal0"/>
        <w:rPr>
          <w:rFonts w:ascii="Cambria" w:eastAsia="Cambria" w:hAnsi="Cambria" w:cs="Cambria"/>
        </w:rPr>
      </w:pPr>
      <w:r>
        <w:rPr>
          <w:rFonts w:ascii="Cambria" w:eastAsia="Cambria" w:hAnsi="Cambria" w:cs="Cambria"/>
        </w:rPr>
        <w:t xml:space="preserve">Concerns have been voiced that current approaches to research in educational design and technology lacks value and practical application (see Baughman, 2008; </w:t>
      </w:r>
      <w:proofErr w:type="spellStart"/>
      <w:r>
        <w:rPr>
          <w:rFonts w:ascii="Cambria" w:eastAsia="Cambria" w:hAnsi="Cambria" w:cs="Cambria"/>
        </w:rPr>
        <w:t>Bichelmeyer</w:t>
      </w:r>
      <w:proofErr w:type="spellEnd"/>
      <w:r>
        <w:rPr>
          <w:rFonts w:ascii="Cambria" w:eastAsia="Cambria" w:hAnsi="Cambria" w:cs="Cambria"/>
        </w:rPr>
        <w:t xml:space="preserve">, Boling, &amp; Gibbons, 2006; </w:t>
      </w:r>
      <w:proofErr w:type="spellStart"/>
      <w:r>
        <w:rPr>
          <w:rFonts w:ascii="Cambria" w:eastAsia="Cambria" w:hAnsi="Cambria" w:cs="Cambria"/>
        </w:rPr>
        <w:t>Gutiérrez</w:t>
      </w:r>
      <w:proofErr w:type="spellEnd"/>
      <w:r>
        <w:rPr>
          <w:rFonts w:ascii="Cambria" w:eastAsia="Cambria" w:hAnsi="Cambria" w:cs="Cambria"/>
        </w:rPr>
        <w:t xml:space="preserve"> &amp; </w:t>
      </w:r>
      <w:proofErr w:type="spellStart"/>
      <w:r>
        <w:rPr>
          <w:rFonts w:ascii="Cambria" w:eastAsia="Cambria" w:hAnsi="Cambria" w:cs="Cambria"/>
        </w:rPr>
        <w:t>Penuel</w:t>
      </w:r>
      <w:proofErr w:type="spellEnd"/>
      <w:r>
        <w:rPr>
          <w:rFonts w:ascii="Cambria" w:eastAsia="Cambria" w:hAnsi="Cambria" w:cs="Cambria"/>
        </w:rPr>
        <w:t xml:space="preserve">, 2014; Merrill &amp; Wilson, 2011; Reeves, 2011; Winn, 2003). Educational Design Research (EDR) is an emerging approach that attempts to bridge the demand for rigorous research with the development of relevant solutions to educational problems, particular those that involve technology.  </w:t>
      </w:r>
    </w:p>
    <w:p w:rsidR="00B76CB9" w:rsidRDefault="00B76CB9">
      <w:pPr>
        <w:pStyle w:val="normal0"/>
      </w:pPr>
    </w:p>
    <w:p w:rsidR="00F3192A" w:rsidRDefault="00C0267A">
      <w:pPr>
        <w:pStyle w:val="normal0"/>
      </w:pPr>
      <w:r>
        <w:rPr>
          <w:rFonts w:ascii="Cambria" w:eastAsia="Cambria" w:hAnsi="Cambria" w:cs="Cambria"/>
        </w:rPr>
        <w:t xml:space="preserve">EDR constitutes a family of design-oriented approaches to educational research, including but not limited to design-based research (DBR; </w:t>
      </w:r>
      <w:proofErr w:type="spellStart"/>
      <w:r>
        <w:rPr>
          <w:rFonts w:ascii="Cambria" w:eastAsia="Cambria" w:hAnsi="Cambria" w:cs="Cambria"/>
        </w:rPr>
        <w:t>Barab</w:t>
      </w:r>
      <w:proofErr w:type="spellEnd"/>
      <w:r>
        <w:rPr>
          <w:rFonts w:ascii="Cambria" w:eastAsia="Cambria" w:hAnsi="Cambria" w:cs="Cambria"/>
        </w:rPr>
        <w:t xml:space="preserve"> &amp; Squire, 2004), design and development research (DDR; Richey &amp; Klein, 2014), and design-based implementation research (DBIR; </w:t>
      </w:r>
      <w:proofErr w:type="spellStart"/>
      <w:r>
        <w:rPr>
          <w:rFonts w:ascii="Cambria" w:eastAsia="Cambria" w:hAnsi="Cambria" w:cs="Cambria"/>
        </w:rPr>
        <w:t>Penuel</w:t>
      </w:r>
      <w:proofErr w:type="spellEnd"/>
      <w:r>
        <w:rPr>
          <w:rFonts w:ascii="Cambria" w:eastAsia="Cambria" w:hAnsi="Cambria" w:cs="Cambria"/>
        </w:rPr>
        <w:t xml:space="preserve">, Fishman, Cheng, &amp; </w:t>
      </w:r>
      <w:proofErr w:type="spellStart"/>
      <w:r>
        <w:rPr>
          <w:rFonts w:ascii="Cambria" w:eastAsia="Cambria" w:hAnsi="Cambria" w:cs="Cambria"/>
        </w:rPr>
        <w:t>Sabelli</w:t>
      </w:r>
      <w:proofErr w:type="spellEnd"/>
      <w:r>
        <w:rPr>
          <w:rFonts w:ascii="Cambria" w:eastAsia="Cambria" w:hAnsi="Cambria" w:cs="Cambria"/>
        </w:rPr>
        <w:t xml:space="preserve">, 2011). Despite a surge of literature in the mid-2000s (e.g., </w:t>
      </w:r>
      <w:proofErr w:type="spellStart"/>
      <w:r>
        <w:rPr>
          <w:rFonts w:ascii="Cambria" w:eastAsia="Cambria" w:hAnsi="Cambria" w:cs="Cambria"/>
        </w:rPr>
        <w:t>Barab</w:t>
      </w:r>
      <w:proofErr w:type="spellEnd"/>
      <w:r>
        <w:rPr>
          <w:rFonts w:ascii="Cambria" w:eastAsia="Cambria" w:hAnsi="Cambria" w:cs="Cambria"/>
        </w:rPr>
        <w:t xml:space="preserve"> &amp; Squire, 2004; Bell, </w:t>
      </w:r>
      <w:proofErr w:type="spellStart"/>
      <w:r>
        <w:rPr>
          <w:rFonts w:ascii="Cambria" w:eastAsia="Cambria" w:hAnsi="Cambria" w:cs="Cambria"/>
        </w:rPr>
        <w:t>Hoadly</w:t>
      </w:r>
      <w:proofErr w:type="spellEnd"/>
      <w:r>
        <w:rPr>
          <w:rFonts w:ascii="Cambria" w:eastAsia="Cambria" w:hAnsi="Cambria" w:cs="Cambria"/>
        </w:rPr>
        <w:t xml:space="preserve">, &amp; Linn, 2004; Reeves, Herrington, &amp; Oliver, 2005; van den Akker et al., 2006), </w:t>
      </w:r>
      <w:r w:rsidR="00B76CB9">
        <w:rPr>
          <w:rFonts w:ascii="Cambria" w:eastAsia="Cambria" w:hAnsi="Cambria" w:cs="Cambria"/>
        </w:rPr>
        <w:t xml:space="preserve">however, </w:t>
      </w:r>
      <w:r>
        <w:rPr>
          <w:rFonts w:ascii="Cambria" w:eastAsia="Cambria" w:hAnsi="Cambria" w:cs="Cambria"/>
        </w:rPr>
        <w:t xml:space="preserve">there remains uncertainty and criticism regarding the value and application of evidence produced through design research (Anderson &amp; Shattuck, 2013; </w:t>
      </w:r>
      <w:proofErr w:type="spellStart"/>
      <w:r>
        <w:rPr>
          <w:rFonts w:ascii="Cambria" w:eastAsia="Cambria" w:hAnsi="Cambria" w:cs="Cambria"/>
        </w:rPr>
        <w:t>Shavelson</w:t>
      </w:r>
      <w:proofErr w:type="spellEnd"/>
      <w:r>
        <w:rPr>
          <w:rFonts w:ascii="Cambria" w:eastAsia="Cambria" w:hAnsi="Cambria" w:cs="Cambria"/>
        </w:rPr>
        <w:t xml:space="preserve"> et al., 2003; </w:t>
      </w:r>
      <w:proofErr w:type="spellStart"/>
      <w:r>
        <w:rPr>
          <w:rFonts w:ascii="Cambria" w:eastAsia="Cambria" w:hAnsi="Cambria" w:cs="Cambria"/>
        </w:rPr>
        <w:t>Dede</w:t>
      </w:r>
      <w:proofErr w:type="spellEnd"/>
      <w:r>
        <w:rPr>
          <w:rFonts w:ascii="Cambria" w:eastAsia="Cambria" w:hAnsi="Cambria" w:cs="Cambria"/>
        </w:rPr>
        <w:t xml:space="preserve">, 2004) and of research methodologies that lack the qualities associated with exclusively experimental methods (Yoon et al., 2007; </w:t>
      </w:r>
      <w:proofErr w:type="spellStart"/>
      <w:r>
        <w:rPr>
          <w:rFonts w:ascii="Cambria" w:eastAsia="Cambria" w:hAnsi="Cambria" w:cs="Cambria"/>
        </w:rPr>
        <w:t>Reimann</w:t>
      </w:r>
      <w:proofErr w:type="spellEnd"/>
      <w:r>
        <w:rPr>
          <w:rFonts w:ascii="Cambria" w:eastAsia="Cambria" w:hAnsi="Cambria" w:cs="Cambria"/>
        </w:rPr>
        <w:t>, 2011). This uncertainty is not unwarranted - the quality of research within EDR studies can vary greatly from iteration to iteration, as well as case to case (</w:t>
      </w:r>
      <w:proofErr w:type="spellStart"/>
      <w:r>
        <w:rPr>
          <w:rFonts w:ascii="Cambria" w:eastAsia="Cambria" w:hAnsi="Cambria" w:cs="Cambria"/>
        </w:rPr>
        <w:t>McKenney</w:t>
      </w:r>
      <w:proofErr w:type="spellEnd"/>
      <w:r>
        <w:rPr>
          <w:rFonts w:ascii="Cambria" w:eastAsia="Cambria" w:hAnsi="Cambria" w:cs="Cambria"/>
        </w:rPr>
        <w:t xml:space="preserve"> &amp; Reeves, 2014; </w:t>
      </w:r>
      <w:proofErr w:type="spellStart"/>
      <w:r>
        <w:rPr>
          <w:rFonts w:ascii="Cambria" w:eastAsia="Cambria" w:hAnsi="Cambria" w:cs="Cambria"/>
        </w:rPr>
        <w:t>Reimann</w:t>
      </w:r>
      <w:proofErr w:type="spellEnd"/>
      <w:r>
        <w:rPr>
          <w:rFonts w:ascii="Cambria" w:eastAsia="Cambria" w:hAnsi="Cambria" w:cs="Cambria"/>
        </w:rPr>
        <w:t xml:space="preserve">, 2011). Even though the same can be said for educational research in general, scholars remain skeptical that the potential of EDR can be fully realized. </w:t>
      </w:r>
    </w:p>
    <w:p w:rsidR="00F3192A" w:rsidRDefault="00F3192A">
      <w:pPr>
        <w:pStyle w:val="normal0"/>
      </w:pPr>
    </w:p>
    <w:p w:rsidR="00F3192A" w:rsidRDefault="00C0267A">
      <w:pPr>
        <w:pStyle w:val="normal0"/>
      </w:pPr>
      <w:r>
        <w:rPr>
          <w:rFonts w:ascii="Cambria" w:eastAsia="Cambria" w:hAnsi="Cambria" w:cs="Cambria"/>
        </w:rPr>
        <w:t xml:space="preserve">In response to this skepticism and to advance the field, </w:t>
      </w:r>
      <w:proofErr w:type="spellStart"/>
      <w:r>
        <w:rPr>
          <w:rFonts w:ascii="Cambria" w:eastAsia="Cambria" w:hAnsi="Cambria" w:cs="Cambria"/>
        </w:rPr>
        <w:t>McKenney</w:t>
      </w:r>
      <w:proofErr w:type="spellEnd"/>
      <w:r>
        <w:rPr>
          <w:rFonts w:ascii="Cambria" w:eastAsia="Cambria" w:hAnsi="Cambria" w:cs="Cambria"/>
        </w:rPr>
        <w:t xml:space="preserve"> and Reeves (2014) and </w:t>
      </w:r>
      <w:proofErr w:type="spellStart"/>
      <w:r>
        <w:rPr>
          <w:rFonts w:ascii="Cambria" w:eastAsia="Cambria" w:hAnsi="Cambria" w:cs="Cambria"/>
        </w:rPr>
        <w:t>Reimann</w:t>
      </w:r>
      <w:proofErr w:type="spellEnd"/>
      <w:r>
        <w:rPr>
          <w:rFonts w:ascii="Cambria" w:eastAsia="Cambria" w:hAnsi="Cambria" w:cs="Cambria"/>
        </w:rPr>
        <w:t xml:space="preserve"> (2011) suggested the need for clear set of high quality EDR exemplars. Others have noted the need for examples to highlight the affordances of various design-oriented approaches (Richey &amp; Klein, 2014; </w:t>
      </w:r>
      <w:proofErr w:type="spellStart"/>
      <w:r>
        <w:rPr>
          <w:rFonts w:ascii="Cambria" w:eastAsia="Cambria" w:hAnsi="Cambria" w:cs="Cambria"/>
        </w:rPr>
        <w:t>Nieveen</w:t>
      </w:r>
      <w:proofErr w:type="spellEnd"/>
      <w:r>
        <w:rPr>
          <w:rFonts w:ascii="Cambria" w:eastAsia="Cambria" w:hAnsi="Cambria" w:cs="Cambria"/>
        </w:rPr>
        <w:t xml:space="preserve"> et al., 2006)</w:t>
      </w:r>
      <w:r w:rsidR="00B76CB9">
        <w:rPr>
          <w:rFonts w:ascii="Cambria" w:eastAsia="Cambria" w:hAnsi="Cambria" w:cs="Cambria"/>
        </w:rPr>
        <w:t xml:space="preserve"> and </w:t>
      </w:r>
      <w:r>
        <w:rPr>
          <w:rFonts w:ascii="Cambria" w:eastAsia="Cambria" w:hAnsi="Cambria" w:cs="Cambria"/>
        </w:rPr>
        <w:t>example</w:t>
      </w:r>
      <w:r w:rsidR="00B76CB9">
        <w:rPr>
          <w:rFonts w:ascii="Cambria" w:eastAsia="Cambria" w:hAnsi="Cambria" w:cs="Cambria"/>
        </w:rPr>
        <w:t>s that demonstrate</w:t>
      </w:r>
      <w:r>
        <w:rPr>
          <w:rFonts w:ascii="Cambria" w:eastAsia="Cambria" w:hAnsi="Cambria" w:cs="Cambria"/>
        </w:rPr>
        <w:t xml:space="preserve"> systematic variation and testing of specific design features over repeated interventions</w:t>
      </w:r>
      <w:r w:rsidR="00B76CB9">
        <w:rPr>
          <w:rFonts w:ascii="Cambria" w:eastAsia="Cambria" w:hAnsi="Cambria" w:cs="Cambria"/>
        </w:rPr>
        <w:t xml:space="preserve"> </w:t>
      </w:r>
      <w:r>
        <w:rPr>
          <w:rFonts w:ascii="Cambria" w:eastAsia="Cambria" w:hAnsi="Cambria" w:cs="Cambria"/>
        </w:rPr>
        <w:t xml:space="preserve">(Reeves, 2011; </w:t>
      </w:r>
      <w:proofErr w:type="spellStart"/>
      <w:r>
        <w:rPr>
          <w:rFonts w:ascii="Cambria" w:eastAsia="Cambria" w:hAnsi="Cambria" w:cs="Cambria"/>
        </w:rPr>
        <w:t>McKenney</w:t>
      </w:r>
      <w:proofErr w:type="spellEnd"/>
      <w:r>
        <w:rPr>
          <w:rFonts w:ascii="Cambria" w:eastAsia="Cambria" w:hAnsi="Cambria" w:cs="Cambria"/>
        </w:rPr>
        <w:t xml:space="preserve"> &amp; Reeves, 2014). </w:t>
      </w:r>
      <w:r>
        <w:rPr>
          <w:rFonts w:ascii="Cambria" w:eastAsia="Cambria" w:hAnsi="Cambria" w:cs="Cambria"/>
        </w:rPr>
        <w:lastRenderedPageBreak/>
        <w:t>Developing and sharing exemplars that are of high quality, portray rich variation, and clearly explore the extent and limits of generalization constitutes an important step towards bridging the tension between research and design in a way that promotes innovative, research-based solutions to our educational problems that work in the real world.</w:t>
      </w:r>
    </w:p>
    <w:p w:rsidR="00B76CB9" w:rsidRDefault="00B76CB9" w:rsidP="00B76CB9">
      <w:pPr>
        <w:pStyle w:val="normal0"/>
      </w:pPr>
      <w:r>
        <w:rPr>
          <w:rFonts w:ascii="Cambria" w:eastAsia="Cambria" w:hAnsi="Cambria" w:cs="Cambria"/>
          <w:b/>
        </w:rPr>
        <w:br/>
        <w:t>Special Issue Focus</w:t>
      </w:r>
      <w:r>
        <w:rPr>
          <w:rFonts w:ascii="Cambria" w:eastAsia="Cambria" w:hAnsi="Cambria" w:cs="Cambria"/>
        </w:rPr>
        <w:br/>
        <w:t xml:space="preserve">The purpose of this special issue is to advance EDR by showcasing exemplars of high quality design-oriented research in technology-supported post-secondary educational settings. We seek manuscripts that detail EDR projects involving the use and/or development of educational technology in tertiary education (higher and further), lifelong learning, and training. Manuscripts should therefore promote research and scholarship on innovative instructional designs that integrate technology in those settings, promote effective practice, and help inform policy. </w:t>
      </w:r>
    </w:p>
    <w:p w:rsidR="00B76CB9" w:rsidRDefault="00B76CB9" w:rsidP="00B76CB9">
      <w:pPr>
        <w:pStyle w:val="normal0"/>
      </w:pPr>
    </w:p>
    <w:p w:rsidR="00B76CB9" w:rsidRDefault="00B76CB9" w:rsidP="00B76CB9">
      <w:pPr>
        <w:pStyle w:val="normal0"/>
      </w:pPr>
      <w:r>
        <w:rPr>
          <w:rFonts w:ascii="Cambria" w:eastAsia="Cambria" w:hAnsi="Cambria" w:cs="Cambria"/>
        </w:rPr>
        <w:t>The special issue paper set will present a variety of high quality EDR studies that explore the extent and limits of generalization across a spectrum of maturity – that is, at various stages, with varying degrees of implementation and spread (see Figure, below). Manuscripts should detail EDR project work during the main phases of 1) analysis and exploration, 2) design and construction and/or 3) evaluation and reflection. Examples include:</w:t>
      </w:r>
      <w:r>
        <w:rPr>
          <w:rFonts w:ascii="Cambria" w:eastAsia="Cambria" w:hAnsi="Cambria" w:cs="Cambria"/>
        </w:rPr>
        <w:br/>
      </w:r>
    </w:p>
    <w:tbl>
      <w:tblPr>
        <w:tblStyle w:val="TableGrid"/>
        <w:tblpPr w:leftFromText="180" w:rightFromText="180" w:vertAnchor="text" w:horzAnchor="page" w:tblpX="5329" w:tblpY="94"/>
        <w:tblOverlap w:val="never"/>
        <w:tblW w:w="0" w:type="auto"/>
        <w:tblBorders>
          <w:insideH w:val="none" w:sz="0" w:space="0" w:color="auto"/>
          <w:insideV w:val="none" w:sz="0" w:space="0" w:color="auto"/>
        </w:tblBorders>
        <w:tblLook w:val="04A0"/>
      </w:tblPr>
      <w:tblGrid>
        <w:gridCol w:w="6048"/>
      </w:tblGrid>
      <w:tr w:rsidR="00B76CB9" w:rsidTr="00B76CB9">
        <w:tc>
          <w:tcPr>
            <w:tcW w:w="6048" w:type="dxa"/>
          </w:tcPr>
          <w:p w:rsidR="00B76CB9" w:rsidRDefault="00B76CB9" w:rsidP="00B76CB9">
            <w:pPr>
              <w:pStyle w:val="normal0"/>
              <w:jc w:val="both"/>
            </w:pPr>
            <w:r>
              <w:rPr>
                <w:noProof/>
                <w:lang w:val="en-AU" w:eastAsia="en-AU"/>
              </w:rPr>
              <w:drawing>
                <wp:inline distT="0" distB="0" distL="0" distR="0">
                  <wp:extent cx="3687445" cy="161226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3687445" cy="1612265"/>
                          </a:xfrm>
                          <a:prstGeom prst="rect">
                            <a:avLst/>
                          </a:prstGeom>
                          <a:ln/>
                        </pic:spPr>
                      </pic:pic>
                    </a:graphicData>
                  </a:graphic>
                </wp:inline>
              </w:drawing>
            </w:r>
          </w:p>
        </w:tc>
      </w:tr>
      <w:tr w:rsidR="00B76CB9" w:rsidTr="00B76CB9">
        <w:tc>
          <w:tcPr>
            <w:tcW w:w="6048" w:type="dxa"/>
          </w:tcPr>
          <w:p w:rsidR="00B76CB9" w:rsidRDefault="00B76CB9" w:rsidP="00B76CB9">
            <w:pPr>
              <w:pStyle w:val="normal0"/>
              <w:jc w:val="center"/>
              <w:rPr>
                <w:rFonts w:ascii="Cambria" w:eastAsia="Cambria" w:hAnsi="Cambria" w:cs="Cambria"/>
              </w:rPr>
            </w:pPr>
          </w:p>
          <w:p w:rsidR="00B76CB9" w:rsidRDefault="00B76CB9" w:rsidP="00B76CB9">
            <w:pPr>
              <w:pStyle w:val="normal0"/>
              <w:jc w:val="center"/>
              <w:rPr>
                <w:rFonts w:ascii="Cambria" w:eastAsia="Cambria" w:hAnsi="Cambria" w:cs="Cambria"/>
              </w:rPr>
            </w:pPr>
          </w:p>
          <w:p w:rsidR="00B76CB9" w:rsidRDefault="00B76CB9" w:rsidP="00B76CB9">
            <w:pPr>
              <w:pStyle w:val="normal0"/>
              <w:jc w:val="center"/>
            </w:pPr>
            <w:r>
              <w:rPr>
                <w:rFonts w:ascii="Cambria" w:eastAsia="Cambria" w:hAnsi="Cambria" w:cs="Cambria"/>
              </w:rPr>
              <w:t xml:space="preserve">Figure. </w:t>
            </w:r>
            <w:proofErr w:type="spellStart"/>
            <w:r>
              <w:rPr>
                <w:rFonts w:ascii="Cambria" w:eastAsia="Cambria" w:hAnsi="Cambria" w:cs="Cambria"/>
                <w:i/>
              </w:rPr>
              <w:t>McKenney</w:t>
            </w:r>
            <w:proofErr w:type="spellEnd"/>
            <w:r>
              <w:rPr>
                <w:rFonts w:ascii="Cambria" w:eastAsia="Cambria" w:hAnsi="Cambria" w:cs="Cambria"/>
                <w:i/>
              </w:rPr>
              <w:t xml:space="preserve"> and Reeves (2012) model of EDR.</w:t>
            </w:r>
          </w:p>
        </w:tc>
      </w:tr>
    </w:tbl>
    <w:p w:rsidR="00B76CB9" w:rsidRDefault="00B76CB9" w:rsidP="00B76CB9">
      <w:pPr>
        <w:pStyle w:val="normal0"/>
        <w:numPr>
          <w:ilvl w:val="0"/>
          <w:numId w:val="1"/>
        </w:numPr>
        <w:ind w:left="547" w:hanging="360"/>
        <w:contextualSpacing/>
      </w:pPr>
      <w:r>
        <w:rPr>
          <w:rFonts w:ascii="Cambria" w:eastAsia="Cambria" w:hAnsi="Cambria" w:cs="Cambria"/>
          <w:i/>
        </w:rPr>
        <w:t>Analysis &amp; Exploration</w:t>
      </w:r>
      <w:r>
        <w:rPr>
          <w:rFonts w:ascii="Cambria" w:eastAsia="Cambria" w:hAnsi="Cambria" w:cs="Cambria"/>
        </w:rPr>
        <w:t xml:space="preserve">: Focus on understanding an educational problem through analysis of the literature, stakeholders, and/or setting, (e.g., </w:t>
      </w:r>
      <w:proofErr w:type="spellStart"/>
      <w:r>
        <w:rPr>
          <w:rFonts w:ascii="Cambria" w:eastAsia="Cambria" w:hAnsi="Cambria" w:cs="Cambria"/>
        </w:rPr>
        <w:t>Agyei</w:t>
      </w:r>
      <w:proofErr w:type="spellEnd"/>
      <w:r>
        <w:rPr>
          <w:rFonts w:ascii="Cambria" w:eastAsia="Cambria" w:hAnsi="Cambria" w:cs="Cambria"/>
        </w:rPr>
        <w:t xml:space="preserve"> &amp; </w:t>
      </w:r>
      <w:proofErr w:type="spellStart"/>
      <w:r>
        <w:rPr>
          <w:rFonts w:ascii="Cambria" w:eastAsia="Cambria" w:hAnsi="Cambria" w:cs="Cambria"/>
        </w:rPr>
        <w:t>Voogt</w:t>
      </w:r>
      <w:proofErr w:type="spellEnd"/>
      <w:r>
        <w:rPr>
          <w:rFonts w:ascii="Cambria" w:eastAsia="Cambria" w:hAnsi="Cambria" w:cs="Cambria"/>
        </w:rPr>
        <w:t xml:space="preserve">, 2011; Lucero, </w:t>
      </w:r>
      <w:proofErr w:type="spellStart"/>
      <w:r>
        <w:rPr>
          <w:rFonts w:ascii="Cambria" w:eastAsia="Cambria" w:hAnsi="Cambria" w:cs="Cambria"/>
        </w:rPr>
        <w:t>Valcke</w:t>
      </w:r>
      <w:proofErr w:type="spellEnd"/>
      <w:r>
        <w:rPr>
          <w:rFonts w:ascii="Cambria" w:eastAsia="Cambria" w:hAnsi="Cambria" w:cs="Cambria"/>
        </w:rPr>
        <w:t xml:space="preserve">, &amp; </w:t>
      </w:r>
      <w:proofErr w:type="spellStart"/>
      <w:r>
        <w:rPr>
          <w:rFonts w:ascii="Cambria" w:eastAsia="Cambria" w:hAnsi="Cambria" w:cs="Cambria"/>
        </w:rPr>
        <w:t>Schellens</w:t>
      </w:r>
      <w:proofErr w:type="spellEnd"/>
      <w:r>
        <w:rPr>
          <w:rFonts w:ascii="Cambria" w:eastAsia="Cambria" w:hAnsi="Cambria" w:cs="Cambria"/>
        </w:rPr>
        <w:t>, 2013).</w:t>
      </w:r>
      <w:r>
        <w:rPr>
          <w:rFonts w:ascii="Cambria" w:eastAsia="Cambria" w:hAnsi="Cambria" w:cs="Cambria"/>
        </w:rPr>
        <w:br/>
      </w:r>
    </w:p>
    <w:p w:rsidR="00B76CB9" w:rsidRDefault="00B76CB9" w:rsidP="00B76CB9">
      <w:pPr>
        <w:pStyle w:val="normal0"/>
        <w:numPr>
          <w:ilvl w:val="0"/>
          <w:numId w:val="1"/>
        </w:numPr>
        <w:ind w:left="547" w:hanging="360"/>
        <w:contextualSpacing/>
      </w:pPr>
      <w:r>
        <w:rPr>
          <w:rFonts w:ascii="Cambria" w:eastAsia="Cambria" w:hAnsi="Cambria" w:cs="Cambria"/>
          <w:i/>
        </w:rPr>
        <w:t>Design &amp; Construction</w:t>
      </w:r>
      <w:r>
        <w:rPr>
          <w:rFonts w:ascii="Cambria" w:eastAsia="Cambria" w:hAnsi="Cambria" w:cs="Cambria"/>
        </w:rPr>
        <w:t xml:space="preserve">: Present design frameworks along with the theoretical and empirical grounding that gave them shape, (e.g., Herrington &amp; Oliver, </w:t>
      </w:r>
      <w:r>
        <w:rPr>
          <w:rFonts w:ascii="Cambria" w:eastAsia="Cambria" w:hAnsi="Cambria" w:cs="Cambria"/>
        </w:rPr>
        <w:br/>
        <w:t xml:space="preserve">2000; </w:t>
      </w:r>
      <w:proofErr w:type="spellStart"/>
      <w:r>
        <w:rPr>
          <w:rFonts w:ascii="Cambria" w:eastAsia="Cambria" w:hAnsi="Cambria" w:cs="Cambria"/>
        </w:rPr>
        <w:t>Raval</w:t>
      </w:r>
      <w:proofErr w:type="spellEnd"/>
      <w:r>
        <w:rPr>
          <w:rFonts w:ascii="Cambria" w:eastAsia="Cambria" w:hAnsi="Cambria" w:cs="Cambria"/>
        </w:rPr>
        <w:t xml:space="preserve">, </w:t>
      </w:r>
      <w:proofErr w:type="spellStart"/>
      <w:r>
        <w:rPr>
          <w:rFonts w:ascii="Cambria" w:eastAsia="Cambria" w:hAnsi="Cambria" w:cs="Cambria"/>
        </w:rPr>
        <w:t>McKenney</w:t>
      </w:r>
      <w:proofErr w:type="spellEnd"/>
      <w:r>
        <w:rPr>
          <w:rFonts w:ascii="Cambria" w:eastAsia="Cambria" w:hAnsi="Cambria" w:cs="Cambria"/>
        </w:rPr>
        <w:t xml:space="preserve">, &amp; </w:t>
      </w:r>
      <w:proofErr w:type="spellStart"/>
      <w:r>
        <w:rPr>
          <w:rFonts w:ascii="Cambria" w:eastAsia="Cambria" w:hAnsi="Cambria" w:cs="Cambria"/>
        </w:rPr>
        <w:t>Pieters</w:t>
      </w:r>
      <w:proofErr w:type="spellEnd"/>
      <w:r>
        <w:rPr>
          <w:rFonts w:ascii="Cambria" w:eastAsia="Cambria" w:hAnsi="Cambria" w:cs="Cambria"/>
        </w:rPr>
        <w:t>, 2010).</w:t>
      </w:r>
      <w:r>
        <w:rPr>
          <w:rFonts w:ascii="Cambria" w:eastAsia="Cambria" w:hAnsi="Cambria" w:cs="Cambria"/>
        </w:rPr>
        <w:br/>
      </w:r>
    </w:p>
    <w:p w:rsidR="00B76CB9" w:rsidRDefault="00B76CB9" w:rsidP="00B76CB9">
      <w:pPr>
        <w:pStyle w:val="normal0"/>
        <w:numPr>
          <w:ilvl w:val="0"/>
          <w:numId w:val="1"/>
        </w:numPr>
        <w:ind w:left="547" w:hanging="358"/>
        <w:contextualSpacing/>
      </w:pPr>
      <w:r>
        <w:rPr>
          <w:rFonts w:ascii="Cambria" w:eastAsia="Cambria" w:hAnsi="Cambria" w:cs="Cambria"/>
          <w:i/>
        </w:rPr>
        <w:t>Evaluation &amp; Reflection</w:t>
      </w:r>
      <w:r>
        <w:rPr>
          <w:rFonts w:ascii="Cambria" w:eastAsia="Cambria" w:hAnsi="Cambria" w:cs="Cambria"/>
        </w:rPr>
        <w:t>: Primarily describe the formative and/or summative evaluations of designed interventions, and the practical and scientific implications of the findings, (e.g.,</w:t>
      </w:r>
      <w:r>
        <w:t xml:space="preserve"> </w:t>
      </w:r>
      <w:proofErr w:type="spellStart"/>
      <w:r w:rsidRPr="004972BA">
        <w:rPr>
          <w:rFonts w:ascii="Cambria" w:eastAsia="Cambria" w:hAnsi="Cambria" w:cs="Cambria"/>
        </w:rPr>
        <w:t>Bakah</w:t>
      </w:r>
      <w:proofErr w:type="spellEnd"/>
      <w:r w:rsidRPr="004972BA">
        <w:rPr>
          <w:rFonts w:ascii="Cambria" w:eastAsia="Cambria" w:hAnsi="Cambria" w:cs="Cambria"/>
        </w:rPr>
        <w:t xml:space="preserve">, </w:t>
      </w:r>
      <w:proofErr w:type="spellStart"/>
      <w:r w:rsidRPr="004972BA">
        <w:rPr>
          <w:rFonts w:ascii="Cambria" w:eastAsia="Cambria" w:hAnsi="Cambria" w:cs="Cambria"/>
        </w:rPr>
        <w:t>Voogt</w:t>
      </w:r>
      <w:proofErr w:type="spellEnd"/>
      <w:r w:rsidRPr="004972BA">
        <w:rPr>
          <w:rFonts w:ascii="Cambria" w:eastAsia="Cambria" w:hAnsi="Cambria" w:cs="Cambria"/>
        </w:rPr>
        <w:t xml:space="preserve">, &amp; </w:t>
      </w:r>
      <w:proofErr w:type="spellStart"/>
      <w:r w:rsidRPr="004972BA">
        <w:rPr>
          <w:rFonts w:ascii="Cambria" w:eastAsia="Cambria" w:hAnsi="Cambria" w:cs="Cambria"/>
        </w:rPr>
        <w:t>Pieters</w:t>
      </w:r>
      <w:proofErr w:type="spellEnd"/>
      <w:r w:rsidRPr="004972BA">
        <w:rPr>
          <w:rFonts w:ascii="Cambria" w:eastAsia="Cambria" w:hAnsi="Cambria" w:cs="Cambria"/>
        </w:rPr>
        <w:t xml:space="preserve"> 2012</w:t>
      </w:r>
      <w:r>
        <w:rPr>
          <w:rFonts w:ascii="Cambria" w:eastAsia="Cambria" w:hAnsi="Cambria" w:cs="Cambria"/>
        </w:rPr>
        <w:t xml:space="preserve">; </w:t>
      </w:r>
      <w:proofErr w:type="spellStart"/>
      <w:r>
        <w:rPr>
          <w:rFonts w:ascii="Cambria" w:eastAsia="Cambria" w:hAnsi="Cambria" w:cs="Cambria"/>
        </w:rPr>
        <w:t>Ley</w:t>
      </w:r>
      <w:proofErr w:type="spellEnd"/>
      <w:r>
        <w:rPr>
          <w:rFonts w:ascii="Cambria" w:eastAsia="Cambria" w:hAnsi="Cambria" w:cs="Cambria"/>
        </w:rPr>
        <w:t xml:space="preserve"> et al., 2014).</w:t>
      </w:r>
    </w:p>
    <w:p w:rsidR="00B76CB9" w:rsidRDefault="00B76CB9" w:rsidP="00B76CB9">
      <w:pPr>
        <w:pStyle w:val="normal0"/>
      </w:pPr>
    </w:p>
    <w:p w:rsidR="00B76CB9" w:rsidRPr="00B76CB9" w:rsidRDefault="00B76CB9" w:rsidP="00B76CB9">
      <w:pPr>
        <w:pStyle w:val="normal0"/>
        <w:rPr>
          <w:rFonts w:ascii="Cambria" w:eastAsia="Cambria" w:hAnsi="Cambria" w:cs="Cambria"/>
        </w:rPr>
      </w:pPr>
      <w:r>
        <w:rPr>
          <w:rFonts w:ascii="Cambria" w:eastAsia="Cambria" w:hAnsi="Cambria" w:cs="Cambria"/>
        </w:rPr>
        <w:t xml:space="preserve">Special issue topics will include reports of: single studies; multiple studies; and/or repeated studies. Conceptual papers that critique or expand upon theoretical and methodological issues in EDR (e.g., </w:t>
      </w:r>
      <w:proofErr w:type="spellStart"/>
      <w:r>
        <w:rPr>
          <w:rFonts w:ascii="Cambria" w:eastAsia="Cambria" w:hAnsi="Cambria" w:cs="Cambria"/>
        </w:rPr>
        <w:t>generalizability</w:t>
      </w:r>
      <w:proofErr w:type="spellEnd"/>
      <w:r>
        <w:rPr>
          <w:rFonts w:ascii="Cambria" w:eastAsia="Cambria" w:hAnsi="Cambria" w:cs="Cambria"/>
        </w:rPr>
        <w:t>; conceptual frameworks; etc.) are also encouraged.</w:t>
      </w:r>
    </w:p>
    <w:p w:rsidR="00B76CB9" w:rsidRDefault="00B76CB9" w:rsidP="00B76CB9">
      <w:pPr>
        <w:pStyle w:val="normal0"/>
      </w:pPr>
      <w:r>
        <w:rPr>
          <w:rFonts w:ascii="Cambria" w:eastAsia="Cambria" w:hAnsi="Cambria" w:cs="Cambria"/>
        </w:rPr>
        <w:t>All papers, including conceptual papers, should include specific EDR examples.</w:t>
      </w:r>
      <w:r>
        <w:t xml:space="preserve"> </w:t>
      </w:r>
      <w:r>
        <w:rPr>
          <w:rFonts w:ascii="Cambria" w:eastAsia="Cambria" w:hAnsi="Cambria" w:cs="Cambria"/>
        </w:rPr>
        <w:t xml:space="preserve">Submissions will be screened for meeting the aims and scope of the special issue, specifically: reporting on or grounding </w:t>
      </w:r>
      <w:r>
        <w:rPr>
          <w:rFonts w:ascii="Cambria" w:eastAsia="Cambria" w:hAnsi="Cambria" w:cs="Cambria"/>
        </w:rPr>
        <w:lastRenderedPageBreak/>
        <w:t>conceptual work in one or more EDR examples (current projects and/or previously published) concerning technology integration in post-secondary education. Then, submissions will be ranked on the following criteria:</w:t>
      </w:r>
      <w:r>
        <w:rPr>
          <w:rFonts w:ascii="Cambria" w:eastAsia="Cambria" w:hAnsi="Cambria" w:cs="Cambria"/>
        </w:rPr>
        <w:br/>
      </w:r>
    </w:p>
    <w:p w:rsidR="00B76CB9" w:rsidRDefault="00B76CB9" w:rsidP="00B76CB9">
      <w:pPr>
        <w:pStyle w:val="normal0"/>
        <w:numPr>
          <w:ilvl w:val="0"/>
          <w:numId w:val="2"/>
        </w:numPr>
        <w:ind w:hanging="358"/>
        <w:contextualSpacing/>
      </w:pPr>
      <w:r>
        <w:rPr>
          <w:rFonts w:ascii="Cambria" w:eastAsia="Cambria" w:hAnsi="Cambria" w:cs="Cambria"/>
        </w:rPr>
        <w:t xml:space="preserve">Appropriate theoretical perspectives given the goal of the study or paper; </w:t>
      </w:r>
    </w:p>
    <w:p w:rsidR="00B76CB9" w:rsidRDefault="00B76CB9" w:rsidP="00B76CB9">
      <w:pPr>
        <w:pStyle w:val="normal0"/>
        <w:numPr>
          <w:ilvl w:val="0"/>
          <w:numId w:val="2"/>
        </w:numPr>
        <w:ind w:hanging="358"/>
        <w:contextualSpacing/>
      </w:pPr>
      <w:r>
        <w:rPr>
          <w:rFonts w:ascii="Cambria" w:eastAsia="Cambria" w:hAnsi="Cambria" w:cs="Cambria"/>
        </w:rPr>
        <w:t>Transparency of design thinking and related inquiry; e.g., through figures or logic models (</w:t>
      </w:r>
      <w:proofErr w:type="spellStart"/>
      <w:r>
        <w:rPr>
          <w:rFonts w:ascii="Cambria" w:eastAsia="Cambria" w:hAnsi="Cambria" w:cs="Cambria"/>
        </w:rPr>
        <w:t>McKenney</w:t>
      </w:r>
      <w:proofErr w:type="spellEnd"/>
      <w:r>
        <w:rPr>
          <w:rFonts w:ascii="Cambria" w:eastAsia="Cambria" w:hAnsi="Cambria" w:cs="Cambria"/>
        </w:rPr>
        <w:t xml:space="preserve"> &amp; Reeves, 2012) or conjecture maps (Sandoval, 2013)</w:t>
      </w:r>
    </w:p>
    <w:p w:rsidR="00B76CB9" w:rsidRDefault="00B76CB9" w:rsidP="00B76CB9">
      <w:pPr>
        <w:pStyle w:val="normal0"/>
        <w:numPr>
          <w:ilvl w:val="0"/>
          <w:numId w:val="2"/>
        </w:numPr>
        <w:ind w:hanging="358"/>
        <w:contextualSpacing/>
      </w:pPr>
      <w:r>
        <w:rPr>
          <w:rFonts w:ascii="Cambria" w:eastAsia="Cambria" w:hAnsi="Cambria" w:cs="Cambria"/>
        </w:rPr>
        <w:t>Methodological rigor (e.g. validity, reliability, credibility, trustworthiness)</w:t>
      </w:r>
    </w:p>
    <w:p w:rsidR="00B76CB9" w:rsidRDefault="00B76CB9" w:rsidP="00B76CB9">
      <w:pPr>
        <w:pStyle w:val="normal0"/>
        <w:numPr>
          <w:ilvl w:val="0"/>
          <w:numId w:val="2"/>
        </w:numPr>
        <w:ind w:hanging="358"/>
        <w:contextualSpacing/>
      </w:pPr>
      <w:r>
        <w:rPr>
          <w:rFonts w:ascii="Cambria" w:eastAsia="Cambria" w:hAnsi="Cambria" w:cs="Cambria"/>
        </w:rPr>
        <w:t>Overall contributions to scientific understanding and relevance to practice (</w:t>
      </w:r>
      <w:proofErr w:type="spellStart"/>
      <w:r>
        <w:rPr>
          <w:rFonts w:ascii="Cambria" w:eastAsia="Cambria" w:hAnsi="Cambria" w:cs="Cambria"/>
        </w:rPr>
        <w:t>Gutiérrez</w:t>
      </w:r>
      <w:proofErr w:type="spellEnd"/>
      <w:r>
        <w:rPr>
          <w:rFonts w:ascii="Cambria" w:eastAsia="Cambria" w:hAnsi="Cambria" w:cs="Cambria"/>
        </w:rPr>
        <w:t xml:space="preserve"> &amp; </w:t>
      </w:r>
      <w:proofErr w:type="spellStart"/>
      <w:r>
        <w:rPr>
          <w:rFonts w:ascii="Cambria" w:eastAsia="Cambria" w:hAnsi="Cambria" w:cs="Cambria"/>
        </w:rPr>
        <w:t>Penuel</w:t>
      </w:r>
      <w:proofErr w:type="spellEnd"/>
      <w:r>
        <w:rPr>
          <w:rFonts w:ascii="Cambria" w:eastAsia="Cambria" w:hAnsi="Cambria" w:cs="Cambria"/>
        </w:rPr>
        <w:t>, 2014)</w:t>
      </w:r>
      <w:r>
        <w:rPr>
          <w:rFonts w:ascii="Cambria" w:eastAsia="Cambria" w:hAnsi="Cambria" w:cs="Cambria"/>
        </w:rPr>
        <w:br/>
      </w:r>
    </w:p>
    <w:p w:rsidR="00B76CB9" w:rsidRDefault="00B76CB9" w:rsidP="00B76CB9">
      <w:pPr>
        <w:pStyle w:val="normal0"/>
      </w:pPr>
      <w:r>
        <w:rPr>
          <w:rFonts w:ascii="Cambria" w:eastAsia="Cambria" w:hAnsi="Cambria" w:cs="Cambria"/>
        </w:rPr>
        <w:t>Finally, submissions will be characterized for their stage of development. The final paper set will include papers that were highly ranked and ideally, as a set, represent a variety of EDR phases across different stages of project maturation.</w:t>
      </w:r>
    </w:p>
    <w:p w:rsidR="00B76CB9" w:rsidRDefault="00B76CB9" w:rsidP="00B76CB9">
      <w:pPr>
        <w:pStyle w:val="normal0"/>
      </w:pPr>
    </w:p>
    <w:p w:rsidR="00B76CB9" w:rsidRDefault="00B76CB9" w:rsidP="00B76CB9">
      <w:pPr>
        <w:pStyle w:val="normal0"/>
      </w:pPr>
      <w:r>
        <w:rPr>
          <w:rFonts w:ascii="Cambria" w:eastAsia="Cambria" w:hAnsi="Cambria" w:cs="Cambria"/>
          <w:b/>
        </w:rPr>
        <w:t>Submission instructions</w:t>
      </w:r>
    </w:p>
    <w:p w:rsidR="00B76CB9" w:rsidRDefault="00B76CB9" w:rsidP="00B76CB9">
      <w:pPr>
        <w:pStyle w:val="normal0"/>
      </w:pPr>
      <w:r>
        <w:rPr>
          <w:rFonts w:ascii="Cambria" w:eastAsia="Cambria" w:hAnsi="Cambria" w:cs="Cambria"/>
          <w:i/>
        </w:rPr>
        <w:t>NOTE: When submitting manuscripts, please note in ‘Comments for the Editor’ that it should be considered for the special issue on Educational Design Research.</w:t>
      </w:r>
    </w:p>
    <w:p w:rsidR="00B76CB9" w:rsidRDefault="00B76CB9" w:rsidP="00B76CB9">
      <w:pPr>
        <w:pStyle w:val="normal0"/>
      </w:pPr>
    </w:p>
    <w:p w:rsidR="00B76CB9" w:rsidRDefault="00B76CB9" w:rsidP="00B76CB9">
      <w:pPr>
        <w:pStyle w:val="normal0"/>
      </w:pPr>
      <w:r>
        <w:rPr>
          <w:rFonts w:ascii="Cambria" w:eastAsia="Cambria" w:hAnsi="Cambria" w:cs="Cambria"/>
        </w:rPr>
        <w:t xml:space="preserve">Proposals should be submitted through the AJET online submission system (http://ascilite.org.au/ajet). Please go to ABOUT to consult the author guidelines prior to submission for information about the required format. Information about peer review criteria is also linked from the ABOUT page. </w:t>
      </w:r>
    </w:p>
    <w:p w:rsidR="00B76CB9" w:rsidRDefault="00B76CB9" w:rsidP="00B76CB9">
      <w:pPr>
        <w:pStyle w:val="normal0"/>
      </w:pPr>
      <w:r>
        <w:rPr>
          <w:rFonts w:ascii="Cambria" w:eastAsia="Cambria" w:hAnsi="Cambria" w:cs="Cambria"/>
        </w:rPr>
        <w:t xml:space="preserve"> </w:t>
      </w:r>
    </w:p>
    <w:p w:rsidR="00B76CB9" w:rsidRDefault="00B76CB9" w:rsidP="00B76CB9">
      <w:pPr>
        <w:pStyle w:val="normal0"/>
      </w:pPr>
      <w:r>
        <w:rPr>
          <w:rFonts w:ascii="Cambria" w:eastAsia="Cambria" w:hAnsi="Cambria" w:cs="Cambria"/>
          <w:b/>
        </w:rPr>
        <w:t>Deadlines for authors</w:t>
      </w:r>
    </w:p>
    <w:p w:rsidR="00B76CB9" w:rsidRDefault="00B76CB9" w:rsidP="00B76CB9">
      <w:pPr>
        <w:pStyle w:val="normal0"/>
      </w:pPr>
      <w:r>
        <w:rPr>
          <w:rFonts w:ascii="Cambria" w:eastAsia="Cambria" w:hAnsi="Cambria" w:cs="Cambria"/>
        </w:rPr>
        <w:t xml:space="preserve">28 February, 2015: Deadline for submission of full manuscripts </w:t>
      </w:r>
    </w:p>
    <w:p w:rsidR="00B76CB9" w:rsidRDefault="00B76CB9" w:rsidP="00B76CB9">
      <w:pPr>
        <w:pStyle w:val="normal0"/>
      </w:pPr>
      <w:r>
        <w:rPr>
          <w:rFonts w:ascii="Cambria" w:eastAsia="Cambria" w:hAnsi="Cambria" w:cs="Cambria"/>
        </w:rPr>
        <w:t>27 April, 2015: Decisions / reflections on submitted papers sent to authors</w:t>
      </w:r>
    </w:p>
    <w:p w:rsidR="00B76CB9" w:rsidRDefault="00B76CB9" w:rsidP="00B76CB9">
      <w:pPr>
        <w:pStyle w:val="normal0"/>
      </w:pPr>
      <w:r>
        <w:rPr>
          <w:rFonts w:ascii="Cambria" w:eastAsia="Cambria" w:hAnsi="Cambria" w:cs="Cambria"/>
        </w:rPr>
        <w:t>26 June, 2015: Revised manuscripts due</w:t>
      </w:r>
    </w:p>
    <w:p w:rsidR="00B76CB9" w:rsidRDefault="00B76CB9" w:rsidP="00B76CB9">
      <w:pPr>
        <w:pStyle w:val="normal0"/>
      </w:pPr>
      <w:r>
        <w:rPr>
          <w:rFonts w:ascii="Cambria" w:eastAsia="Cambria" w:hAnsi="Cambria" w:cs="Cambria"/>
        </w:rPr>
        <w:t>24 July, 2015: Final manuscripts due for publication in October 2015 Special Issue</w:t>
      </w:r>
    </w:p>
    <w:p w:rsidR="006000C8" w:rsidRPr="006000C8" w:rsidRDefault="00B76CB9" w:rsidP="00B76CB9">
      <w:pPr>
        <w:pStyle w:val="normal0"/>
        <w:jc w:val="center"/>
      </w:pPr>
      <w:r>
        <w:rPr>
          <w:rFonts w:ascii="Cambria" w:eastAsia="Cambria" w:hAnsi="Cambria" w:cs="Cambria"/>
        </w:rPr>
        <w:br w:type="column"/>
      </w:r>
      <w:r w:rsidR="00C0267A">
        <w:rPr>
          <w:rFonts w:ascii="Cambria" w:eastAsia="Cambria" w:hAnsi="Cambria" w:cs="Cambria"/>
          <w:b/>
        </w:rPr>
        <w:lastRenderedPageBreak/>
        <w:t>References</w:t>
      </w:r>
    </w:p>
    <w:p w:rsidR="006000C8" w:rsidRDefault="006000C8" w:rsidP="006000C8">
      <w:pPr>
        <w:pStyle w:val="normal0"/>
        <w:ind w:left="720" w:hanging="720"/>
        <w:contextualSpacing/>
      </w:pPr>
      <w:proofErr w:type="spellStart"/>
      <w:proofErr w:type="gramStart"/>
      <w:r>
        <w:rPr>
          <w:rFonts w:ascii="Cambria" w:eastAsia="Cambria" w:hAnsi="Cambria" w:cs="Cambria"/>
        </w:rPr>
        <w:t>Agyei</w:t>
      </w:r>
      <w:proofErr w:type="spellEnd"/>
      <w:r>
        <w:rPr>
          <w:rFonts w:ascii="Cambria" w:eastAsia="Cambria" w:hAnsi="Cambria" w:cs="Cambria"/>
        </w:rPr>
        <w:t xml:space="preserve">, D. D., &amp; </w:t>
      </w:r>
      <w:proofErr w:type="spellStart"/>
      <w:r>
        <w:rPr>
          <w:rFonts w:ascii="Cambria" w:eastAsia="Cambria" w:hAnsi="Cambria" w:cs="Cambria"/>
        </w:rPr>
        <w:t>Voogt</w:t>
      </w:r>
      <w:proofErr w:type="spellEnd"/>
      <w:r>
        <w:rPr>
          <w:rFonts w:ascii="Cambria" w:eastAsia="Cambria" w:hAnsi="Cambria" w:cs="Cambria"/>
        </w:rPr>
        <w:t>, J. (2011).</w:t>
      </w:r>
      <w:proofErr w:type="gramEnd"/>
      <w:r>
        <w:rPr>
          <w:rFonts w:ascii="Cambria" w:eastAsia="Cambria" w:hAnsi="Cambria" w:cs="Cambria"/>
        </w:rPr>
        <w:t xml:space="preserve"> </w:t>
      </w:r>
      <w:proofErr w:type="gramStart"/>
      <w:r>
        <w:rPr>
          <w:rFonts w:ascii="Cambria" w:eastAsia="Cambria" w:hAnsi="Cambria" w:cs="Cambria"/>
        </w:rPr>
        <w:t>Exploring the potential of the Will Skill Tool model in Ghana: Predicting prospective and practicing teachers’ use of technology.</w:t>
      </w:r>
      <w:proofErr w:type="gramEnd"/>
      <w:r>
        <w:rPr>
          <w:rFonts w:ascii="Cambria" w:eastAsia="Cambria" w:hAnsi="Cambria" w:cs="Cambria"/>
        </w:rPr>
        <w:t xml:space="preserve"> </w:t>
      </w:r>
      <w:r>
        <w:rPr>
          <w:rFonts w:ascii="Cambria" w:eastAsia="Cambria" w:hAnsi="Cambria" w:cs="Cambria"/>
          <w:i/>
        </w:rPr>
        <w:t>Computers &amp; Education, 56</w:t>
      </w:r>
      <w:r>
        <w:rPr>
          <w:rFonts w:ascii="Cambria" w:eastAsia="Cambria" w:hAnsi="Cambria" w:cs="Cambria"/>
        </w:rPr>
        <w:t>(1), 91-100.</w:t>
      </w:r>
    </w:p>
    <w:p w:rsidR="006000C8" w:rsidRDefault="006000C8" w:rsidP="006000C8">
      <w:pPr>
        <w:pStyle w:val="normal0"/>
        <w:ind w:left="720" w:hanging="720"/>
        <w:rPr>
          <w:rFonts w:ascii="Cambria" w:eastAsia="Cambria" w:hAnsi="Cambria" w:cs="Cambria"/>
        </w:rPr>
      </w:pPr>
    </w:p>
    <w:p w:rsidR="00F3192A" w:rsidRDefault="00C0267A" w:rsidP="006000C8">
      <w:pPr>
        <w:pStyle w:val="normal0"/>
        <w:ind w:left="720" w:hanging="720"/>
      </w:pPr>
      <w:proofErr w:type="spellStart"/>
      <w:proofErr w:type="gramStart"/>
      <w:r>
        <w:rPr>
          <w:rFonts w:ascii="Cambria" w:eastAsia="Cambria" w:hAnsi="Cambria" w:cs="Cambria"/>
        </w:rPr>
        <w:t>Bakah</w:t>
      </w:r>
      <w:proofErr w:type="spellEnd"/>
      <w:r>
        <w:rPr>
          <w:rFonts w:ascii="Cambria" w:eastAsia="Cambria" w:hAnsi="Cambria" w:cs="Cambria"/>
        </w:rPr>
        <w:t xml:space="preserve">, M. A. B., </w:t>
      </w:r>
      <w:proofErr w:type="spellStart"/>
      <w:r>
        <w:rPr>
          <w:rFonts w:ascii="Cambria" w:eastAsia="Cambria" w:hAnsi="Cambria" w:cs="Cambria"/>
        </w:rPr>
        <w:t>Voogt</w:t>
      </w:r>
      <w:proofErr w:type="spellEnd"/>
      <w:r>
        <w:rPr>
          <w:rFonts w:ascii="Cambria" w:eastAsia="Cambria" w:hAnsi="Cambria" w:cs="Cambria"/>
        </w:rPr>
        <w:t xml:space="preserve">, J. M., &amp; </w:t>
      </w:r>
      <w:proofErr w:type="spellStart"/>
      <w:r>
        <w:rPr>
          <w:rFonts w:ascii="Cambria" w:eastAsia="Cambria" w:hAnsi="Cambria" w:cs="Cambria"/>
        </w:rPr>
        <w:t>Pieters</w:t>
      </w:r>
      <w:proofErr w:type="spellEnd"/>
      <w:r>
        <w:rPr>
          <w:rFonts w:ascii="Cambria" w:eastAsia="Cambria" w:hAnsi="Cambria" w:cs="Cambria"/>
        </w:rPr>
        <w:t>, J. M. (2012).</w:t>
      </w:r>
      <w:proofErr w:type="gramEnd"/>
      <w:r>
        <w:rPr>
          <w:rFonts w:ascii="Cambria" w:eastAsia="Cambria" w:hAnsi="Cambria" w:cs="Cambria"/>
        </w:rPr>
        <w:t xml:space="preserve"> </w:t>
      </w:r>
      <w:proofErr w:type="gramStart"/>
      <w:r>
        <w:rPr>
          <w:rFonts w:ascii="Cambria" w:eastAsia="Cambria" w:hAnsi="Cambria" w:cs="Cambria"/>
        </w:rPr>
        <w:t>Advancing perspectives of sustainability and large-scale implementation of design teams in Ghana's polytechnics: Issues and opportunities.</w:t>
      </w:r>
      <w:proofErr w:type="gramEnd"/>
      <w:r>
        <w:rPr>
          <w:rFonts w:ascii="Cambria" w:eastAsia="Cambria" w:hAnsi="Cambria" w:cs="Cambria"/>
        </w:rPr>
        <w:t xml:space="preserve"> </w:t>
      </w:r>
      <w:r>
        <w:rPr>
          <w:rFonts w:ascii="Cambria" w:eastAsia="Cambria" w:hAnsi="Cambria" w:cs="Cambria"/>
          <w:i/>
        </w:rPr>
        <w:t>International Journal of Educational Development, 32</w:t>
      </w:r>
      <w:r>
        <w:rPr>
          <w:rFonts w:ascii="Cambria" w:eastAsia="Cambria" w:hAnsi="Cambria" w:cs="Cambria"/>
        </w:rPr>
        <w:t>(6), 787-796.</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Barab</w:t>
      </w:r>
      <w:proofErr w:type="spellEnd"/>
      <w:r>
        <w:rPr>
          <w:rFonts w:ascii="Cambria" w:eastAsia="Cambria" w:hAnsi="Cambria" w:cs="Cambria"/>
        </w:rPr>
        <w:t>, S., &amp; Squire, K. (2004).</w:t>
      </w:r>
      <w:proofErr w:type="gramEnd"/>
      <w:r>
        <w:rPr>
          <w:rFonts w:ascii="Cambria" w:eastAsia="Cambria" w:hAnsi="Cambria" w:cs="Cambria"/>
        </w:rPr>
        <w:t xml:space="preserve"> Design-based research: Putting a stake in the ground. </w:t>
      </w:r>
      <w:r>
        <w:rPr>
          <w:rFonts w:ascii="Cambria" w:eastAsia="Cambria" w:hAnsi="Cambria" w:cs="Cambria"/>
          <w:i/>
        </w:rPr>
        <w:t>The Journal of the Learning Sciences</w:t>
      </w:r>
      <w:r>
        <w:rPr>
          <w:rFonts w:ascii="Cambria" w:eastAsia="Cambria" w:hAnsi="Cambria" w:cs="Cambria"/>
        </w:rPr>
        <w:t>, </w:t>
      </w:r>
      <w:r>
        <w:rPr>
          <w:rFonts w:ascii="Cambria" w:eastAsia="Cambria" w:hAnsi="Cambria" w:cs="Cambria"/>
          <w:i/>
        </w:rPr>
        <w:t>13</w:t>
      </w:r>
      <w:r>
        <w:rPr>
          <w:rFonts w:ascii="Cambria" w:eastAsia="Cambria" w:hAnsi="Cambria" w:cs="Cambria"/>
        </w:rPr>
        <w:t>(1), 1-14.</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Baughman, M. (2008).</w:t>
      </w:r>
      <w:proofErr w:type="gramEnd"/>
      <w:r>
        <w:rPr>
          <w:rFonts w:ascii="Cambria" w:eastAsia="Cambria" w:hAnsi="Cambria" w:cs="Cambria"/>
        </w:rPr>
        <w:t xml:space="preserve"> </w:t>
      </w:r>
      <w:proofErr w:type="gramStart"/>
      <w:r>
        <w:rPr>
          <w:rFonts w:ascii="Cambria" w:eastAsia="Cambria" w:hAnsi="Cambria" w:cs="Cambria"/>
        </w:rPr>
        <w:t>The influence of scientific research and evaluation on publishing educational curriculum.</w:t>
      </w:r>
      <w:proofErr w:type="gramEnd"/>
      <w:r>
        <w:rPr>
          <w:rFonts w:ascii="Cambria" w:eastAsia="Cambria" w:hAnsi="Cambria" w:cs="Cambria"/>
        </w:rPr>
        <w:t xml:space="preserve"> </w:t>
      </w:r>
      <w:proofErr w:type="gramStart"/>
      <w:r>
        <w:rPr>
          <w:rFonts w:ascii="Cambria" w:eastAsia="Cambria" w:hAnsi="Cambria" w:cs="Cambria"/>
        </w:rPr>
        <w:t>In T. Berry &amp; R. M. Eddy (Eds.), Consequences of No Child Left Behind for educational evaluation.</w:t>
      </w:r>
      <w:proofErr w:type="gramEnd"/>
      <w:r>
        <w:rPr>
          <w:rFonts w:ascii="Cambria" w:eastAsia="Cambria" w:hAnsi="Cambria" w:cs="Cambria"/>
        </w:rPr>
        <w:t xml:space="preserve"> </w:t>
      </w:r>
      <w:r>
        <w:rPr>
          <w:rFonts w:ascii="Cambria" w:eastAsia="Cambria" w:hAnsi="Cambria" w:cs="Cambria"/>
          <w:i/>
        </w:rPr>
        <w:t>New Directions for Evaluation, 117</w:t>
      </w:r>
      <w:r>
        <w:rPr>
          <w:rFonts w:ascii="Cambria" w:eastAsia="Cambria" w:hAnsi="Cambria" w:cs="Cambria"/>
        </w:rPr>
        <w:t>, 85-94.F</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 xml:space="preserve">Bell, P., </w:t>
      </w:r>
      <w:proofErr w:type="spellStart"/>
      <w:r>
        <w:rPr>
          <w:rFonts w:ascii="Cambria" w:eastAsia="Cambria" w:hAnsi="Cambria" w:cs="Cambria"/>
        </w:rPr>
        <w:t>Hoadley</w:t>
      </w:r>
      <w:proofErr w:type="spellEnd"/>
      <w:r>
        <w:rPr>
          <w:rFonts w:ascii="Cambria" w:eastAsia="Cambria" w:hAnsi="Cambria" w:cs="Cambria"/>
        </w:rPr>
        <w:t>, C. M., &amp; Linn, M. C. (2004).</w:t>
      </w:r>
      <w:proofErr w:type="gramEnd"/>
      <w:r>
        <w:rPr>
          <w:rFonts w:ascii="Cambria" w:eastAsia="Cambria" w:hAnsi="Cambria" w:cs="Cambria"/>
        </w:rPr>
        <w:t xml:space="preserve"> </w:t>
      </w:r>
      <w:proofErr w:type="gramStart"/>
      <w:r>
        <w:rPr>
          <w:rFonts w:ascii="Cambria" w:eastAsia="Cambria" w:hAnsi="Cambria" w:cs="Cambria"/>
        </w:rPr>
        <w:t>Design-based research in education.</w:t>
      </w:r>
      <w:proofErr w:type="gramEnd"/>
      <w:r>
        <w:rPr>
          <w:rFonts w:ascii="Cambria" w:eastAsia="Cambria" w:hAnsi="Cambria" w:cs="Cambria"/>
        </w:rPr>
        <w:t xml:space="preserve"> </w:t>
      </w:r>
      <w:r>
        <w:rPr>
          <w:rFonts w:ascii="Cambria" w:eastAsia="Cambria" w:hAnsi="Cambria" w:cs="Cambria"/>
          <w:i/>
        </w:rPr>
        <w:t>Internet Environments for Science Education,</w:t>
      </w:r>
      <w:r>
        <w:rPr>
          <w:rFonts w:ascii="Cambria" w:eastAsia="Cambria" w:hAnsi="Cambria" w:cs="Cambria"/>
        </w:rPr>
        <w:t xml:space="preserve"> 73-85.</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Bichelmeyer</w:t>
      </w:r>
      <w:proofErr w:type="spellEnd"/>
      <w:r>
        <w:rPr>
          <w:rFonts w:ascii="Cambria" w:eastAsia="Cambria" w:hAnsi="Cambria" w:cs="Cambria"/>
        </w:rPr>
        <w:t>, B., Boling, E., &amp; Gibbons, A. (2006).</w:t>
      </w:r>
      <w:proofErr w:type="gramEnd"/>
      <w:r>
        <w:rPr>
          <w:rFonts w:ascii="Cambria" w:eastAsia="Cambria" w:hAnsi="Cambria" w:cs="Cambria"/>
        </w:rPr>
        <w:t xml:space="preserve"> Instructional design and technology models: Their impact on research and teaching in instructional design and technology. </w:t>
      </w:r>
      <w:proofErr w:type="gramStart"/>
      <w:r>
        <w:rPr>
          <w:rFonts w:ascii="Cambria" w:eastAsia="Cambria" w:hAnsi="Cambria" w:cs="Cambria"/>
        </w:rPr>
        <w:t xml:space="preserve">In </w:t>
      </w:r>
      <w:r>
        <w:rPr>
          <w:rFonts w:ascii="Cambria" w:eastAsia="Cambria" w:hAnsi="Cambria" w:cs="Cambria"/>
          <w:i/>
        </w:rPr>
        <w:t>Educational Media and Technology Yearbook</w:t>
      </w:r>
      <w:r>
        <w:rPr>
          <w:rFonts w:ascii="Cambria" w:eastAsia="Cambria" w:hAnsi="Cambria" w:cs="Cambria"/>
        </w:rPr>
        <w:t xml:space="preserve">, Vol. 29, edited by M. </w:t>
      </w:r>
      <w:proofErr w:type="spellStart"/>
      <w:r>
        <w:rPr>
          <w:rFonts w:ascii="Cambria" w:eastAsia="Cambria" w:hAnsi="Cambria" w:cs="Cambria"/>
        </w:rPr>
        <w:t>Orey</w:t>
      </w:r>
      <w:proofErr w:type="spellEnd"/>
      <w:r>
        <w:rPr>
          <w:rFonts w:ascii="Cambria" w:eastAsia="Cambria" w:hAnsi="Cambria" w:cs="Cambria"/>
        </w:rPr>
        <w:t>, V. J. McClendon, and R. M. Branch, pp. 23–43.</w:t>
      </w:r>
      <w:proofErr w:type="gramEnd"/>
      <w:r>
        <w:rPr>
          <w:rFonts w:ascii="Cambria" w:eastAsia="Cambria" w:hAnsi="Cambria" w:cs="Cambria"/>
        </w:rPr>
        <w:t xml:space="preserve"> Westport, CN: Libraries Unlimited.</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 xml:space="preserve">Cobb, P., </w:t>
      </w:r>
      <w:proofErr w:type="spellStart"/>
      <w:r>
        <w:rPr>
          <w:rFonts w:ascii="Cambria" w:eastAsia="Cambria" w:hAnsi="Cambria" w:cs="Cambria"/>
        </w:rPr>
        <w:t>Confrey</w:t>
      </w:r>
      <w:proofErr w:type="spellEnd"/>
      <w:r>
        <w:rPr>
          <w:rFonts w:ascii="Cambria" w:eastAsia="Cambria" w:hAnsi="Cambria" w:cs="Cambria"/>
        </w:rPr>
        <w:t xml:space="preserve">, J., </w:t>
      </w:r>
      <w:proofErr w:type="spellStart"/>
      <w:r>
        <w:rPr>
          <w:rFonts w:ascii="Cambria" w:eastAsia="Cambria" w:hAnsi="Cambria" w:cs="Cambria"/>
        </w:rPr>
        <w:t>diSessa</w:t>
      </w:r>
      <w:proofErr w:type="spellEnd"/>
      <w:r>
        <w:rPr>
          <w:rFonts w:ascii="Cambria" w:eastAsia="Cambria" w:hAnsi="Cambria" w:cs="Cambria"/>
        </w:rPr>
        <w:t xml:space="preserve">, A., Lehrer, R., &amp; </w:t>
      </w:r>
      <w:proofErr w:type="spellStart"/>
      <w:r>
        <w:rPr>
          <w:rFonts w:ascii="Cambria" w:eastAsia="Cambria" w:hAnsi="Cambria" w:cs="Cambria"/>
        </w:rPr>
        <w:t>Schauble</w:t>
      </w:r>
      <w:proofErr w:type="spellEnd"/>
      <w:r>
        <w:rPr>
          <w:rFonts w:ascii="Cambria" w:eastAsia="Cambria" w:hAnsi="Cambria" w:cs="Cambria"/>
        </w:rPr>
        <w:t>, L. (2003).</w:t>
      </w:r>
      <w:proofErr w:type="gramEnd"/>
      <w:r>
        <w:rPr>
          <w:rFonts w:ascii="Cambria" w:eastAsia="Cambria" w:hAnsi="Cambria" w:cs="Cambria"/>
        </w:rPr>
        <w:t xml:space="preserve"> Design experiments in educational research. </w:t>
      </w:r>
      <w:r>
        <w:rPr>
          <w:rFonts w:ascii="Cambria" w:eastAsia="Cambria" w:hAnsi="Cambria" w:cs="Cambria"/>
          <w:i/>
        </w:rPr>
        <w:t>Educational Researcher, 32</w:t>
      </w:r>
      <w:r>
        <w:rPr>
          <w:rFonts w:ascii="Cambria" w:eastAsia="Cambria" w:hAnsi="Cambria" w:cs="Cambria"/>
        </w:rPr>
        <w:t>(1), 9-13.</w:t>
      </w:r>
    </w:p>
    <w:p w:rsidR="00F3192A" w:rsidRDefault="00F3192A">
      <w:pPr>
        <w:pStyle w:val="normal0"/>
        <w:ind w:left="720" w:hanging="719"/>
      </w:pPr>
    </w:p>
    <w:p w:rsidR="00F3192A" w:rsidRDefault="00C0267A">
      <w:pPr>
        <w:pStyle w:val="normal0"/>
        <w:ind w:left="720" w:hanging="719"/>
      </w:pPr>
      <w:proofErr w:type="spellStart"/>
      <w:r>
        <w:rPr>
          <w:rFonts w:ascii="Cambria" w:eastAsia="Cambria" w:hAnsi="Cambria" w:cs="Cambria"/>
        </w:rPr>
        <w:t>Dede</w:t>
      </w:r>
      <w:proofErr w:type="spellEnd"/>
      <w:r>
        <w:rPr>
          <w:rFonts w:ascii="Cambria" w:eastAsia="Cambria" w:hAnsi="Cambria" w:cs="Cambria"/>
        </w:rPr>
        <w:t xml:space="preserve">, C. (2004). If design-based research is the answer, what is the question? </w:t>
      </w:r>
      <w:proofErr w:type="gramStart"/>
      <w:r>
        <w:rPr>
          <w:rFonts w:ascii="Cambria" w:eastAsia="Cambria" w:hAnsi="Cambria" w:cs="Cambria"/>
        </w:rPr>
        <w:t xml:space="preserve">A commentary on Collins, Joseph, and </w:t>
      </w:r>
      <w:proofErr w:type="spellStart"/>
      <w:r>
        <w:rPr>
          <w:rFonts w:ascii="Cambria" w:eastAsia="Cambria" w:hAnsi="Cambria" w:cs="Cambria"/>
        </w:rPr>
        <w:t>Bielaczyc</w:t>
      </w:r>
      <w:proofErr w:type="spellEnd"/>
      <w:r>
        <w:rPr>
          <w:rFonts w:ascii="Cambria" w:eastAsia="Cambria" w:hAnsi="Cambria" w:cs="Cambria"/>
        </w:rPr>
        <w:t xml:space="preserve">; </w:t>
      </w:r>
      <w:proofErr w:type="spellStart"/>
      <w:r>
        <w:rPr>
          <w:rFonts w:ascii="Cambria" w:eastAsia="Cambria" w:hAnsi="Cambria" w:cs="Cambria"/>
        </w:rPr>
        <w:t>diSessa</w:t>
      </w:r>
      <w:proofErr w:type="spellEnd"/>
      <w:r>
        <w:rPr>
          <w:rFonts w:ascii="Cambria" w:eastAsia="Cambria" w:hAnsi="Cambria" w:cs="Cambria"/>
        </w:rPr>
        <w:t xml:space="preserve"> and Cobb; and Fishman, Marx, Blumenthal, </w:t>
      </w:r>
      <w:proofErr w:type="spellStart"/>
      <w:r>
        <w:rPr>
          <w:rFonts w:ascii="Cambria" w:eastAsia="Cambria" w:hAnsi="Cambria" w:cs="Cambria"/>
        </w:rPr>
        <w:t>Krajcik</w:t>
      </w:r>
      <w:proofErr w:type="spellEnd"/>
      <w:r>
        <w:rPr>
          <w:rFonts w:ascii="Cambria" w:eastAsia="Cambria" w:hAnsi="Cambria" w:cs="Cambria"/>
        </w:rPr>
        <w:t xml:space="preserve">, and </w:t>
      </w:r>
      <w:proofErr w:type="spellStart"/>
      <w:r>
        <w:rPr>
          <w:rFonts w:ascii="Cambria" w:eastAsia="Cambria" w:hAnsi="Cambria" w:cs="Cambria"/>
        </w:rPr>
        <w:t>Soloway</w:t>
      </w:r>
      <w:proofErr w:type="spellEnd"/>
      <w:r>
        <w:rPr>
          <w:rFonts w:ascii="Cambria" w:eastAsia="Cambria" w:hAnsi="Cambria" w:cs="Cambria"/>
        </w:rPr>
        <w:t xml:space="preserve"> in the JLS Special Issue on Design-Based Research.</w:t>
      </w:r>
      <w:proofErr w:type="gramEnd"/>
      <w:r>
        <w:rPr>
          <w:rFonts w:ascii="Cambria" w:eastAsia="Cambria" w:hAnsi="Cambria" w:cs="Cambria"/>
        </w:rPr>
        <w:t xml:space="preserve"> </w:t>
      </w:r>
      <w:r>
        <w:rPr>
          <w:rFonts w:ascii="Cambria" w:eastAsia="Cambria" w:hAnsi="Cambria" w:cs="Cambria"/>
          <w:i/>
        </w:rPr>
        <w:t>The Journal of the Learning Sciences</w:t>
      </w:r>
      <w:r>
        <w:rPr>
          <w:rFonts w:ascii="Cambria" w:eastAsia="Cambria" w:hAnsi="Cambria" w:cs="Cambria"/>
        </w:rPr>
        <w:t>, 13(1), 105-114.</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Gutiérrez</w:t>
      </w:r>
      <w:proofErr w:type="spellEnd"/>
      <w:r>
        <w:rPr>
          <w:rFonts w:ascii="Cambria" w:eastAsia="Cambria" w:hAnsi="Cambria" w:cs="Cambria"/>
        </w:rPr>
        <w:t xml:space="preserve">, K. D., &amp; </w:t>
      </w:r>
      <w:proofErr w:type="spellStart"/>
      <w:r>
        <w:rPr>
          <w:rFonts w:ascii="Cambria" w:eastAsia="Cambria" w:hAnsi="Cambria" w:cs="Cambria"/>
        </w:rPr>
        <w:t>Penuel</w:t>
      </w:r>
      <w:proofErr w:type="spellEnd"/>
      <w:r>
        <w:rPr>
          <w:rFonts w:ascii="Cambria" w:eastAsia="Cambria" w:hAnsi="Cambria" w:cs="Cambria"/>
        </w:rPr>
        <w:t>, W. R. (2014).</w:t>
      </w:r>
      <w:proofErr w:type="gramEnd"/>
      <w:r>
        <w:rPr>
          <w:rFonts w:ascii="Cambria" w:eastAsia="Cambria" w:hAnsi="Cambria" w:cs="Cambria"/>
        </w:rPr>
        <w:t xml:space="preserve"> </w:t>
      </w:r>
      <w:proofErr w:type="gramStart"/>
      <w:r>
        <w:rPr>
          <w:rFonts w:ascii="Cambria" w:eastAsia="Cambria" w:hAnsi="Cambria" w:cs="Cambria"/>
        </w:rPr>
        <w:t>Relevance to practice as a criterion for rigor.</w:t>
      </w:r>
      <w:proofErr w:type="gramEnd"/>
      <w:r>
        <w:rPr>
          <w:rFonts w:ascii="Cambria" w:eastAsia="Cambria" w:hAnsi="Cambria" w:cs="Cambria"/>
        </w:rPr>
        <w:t xml:space="preserve"> </w:t>
      </w:r>
      <w:r>
        <w:rPr>
          <w:rFonts w:ascii="Cambria" w:eastAsia="Cambria" w:hAnsi="Cambria" w:cs="Cambria"/>
          <w:i/>
        </w:rPr>
        <w:t>Educational Researcher, 43</w:t>
      </w:r>
      <w:r>
        <w:rPr>
          <w:rFonts w:ascii="Cambria" w:eastAsia="Cambria" w:hAnsi="Cambria" w:cs="Cambria"/>
        </w:rPr>
        <w:t>(1), 19-23.</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Herrington, J., &amp; Oliver, R. (2000).</w:t>
      </w:r>
      <w:proofErr w:type="gramEnd"/>
      <w:r>
        <w:rPr>
          <w:rFonts w:ascii="Cambria" w:eastAsia="Cambria" w:hAnsi="Cambria" w:cs="Cambria"/>
        </w:rPr>
        <w:t xml:space="preserve"> </w:t>
      </w:r>
      <w:proofErr w:type="gramStart"/>
      <w:r>
        <w:rPr>
          <w:rFonts w:ascii="Cambria" w:eastAsia="Cambria" w:hAnsi="Cambria" w:cs="Cambria"/>
        </w:rPr>
        <w:t>An instructional design framework for authentic learning environments.</w:t>
      </w:r>
      <w:proofErr w:type="gramEnd"/>
      <w:r>
        <w:rPr>
          <w:rFonts w:ascii="Cambria" w:eastAsia="Cambria" w:hAnsi="Cambria" w:cs="Cambria"/>
        </w:rPr>
        <w:t xml:space="preserve"> </w:t>
      </w:r>
      <w:r>
        <w:rPr>
          <w:rFonts w:ascii="Cambria" w:eastAsia="Cambria" w:hAnsi="Cambria" w:cs="Cambria"/>
          <w:i/>
        </w:rPr>
        <w:t>Educational Technology Research and Development, 48</w:t>
      </w:r>
      <w:r>
        <w:rPr>
          <w:rFonts w:ascii="Cambria" w:eastAsia="Cambria" w:hAnsi="Cambria" w:cs="Cambria"/>
        </w:rPr>
        <w:t>(3), 23-48.</w:t>
      </w:r>
      <w:r>
        <w:rPr>
          <w:rFonts w:ascii="Cambria" w:eastAsia="Cambria" w:hAnsi="Cambria" w:cs="Cambria"/>
        </w:rPr>
        <w:br/>
      </w:r>
    </w:p>
    <w:p w:rsidR="00F3192A" w:rsidRPr="006000C8" w:rsidRDefault="00C0267A" w:rsidP="006000C8">
      <w:pPr>
        <w:pStyle w:val="normal0"/>
        <w:ind w:left="720" w:hanging="719"/>
        <w:rPr>
          <w:rFonts w:ascii="Cambria" w:eastAsia="Cambria" w:hAnsi="Cambria" w:cs="Cambria"/>
          <w:i/>
        </w:rPr>
      </w:pPr>
      <w:proofErr w:type="spellStart"/>
      <w:proofErr w:type="gramStart"/>
      <w:r>
        <w:rPr>
          <w:rFonts w:ascii="Cambria" w:eastAsia="Cambria" w:hAnsi="Cambria" w:cs="Cambria"/>
        </w:rPr>
        <w:t>Ley</w:t>
      </w:r>
      <w:proofErr w:type="spellEnd"/>
      <w:r>
        <w:rPr>
          <w:rFonts w:ascii="Cambria" w:eastAsia="Cambria" w:hAnsi="Cambria" w:cs="Cambria"/>
        </w:rPr>
        <w:t xml:space="preserve">, T., Cook, J., </w:t>
      </w:r>
      <w:proofErr w:type="spellStart"/>
      <w:r>
        <w:rPr>
          <w:rFonts w:ascii="Cambria" w:eastAsia="Cambria" w:hAnsi="Cambria" w:cs="Cambria"/>
        </w:rPr>
        <w:t>Dennerlein</w:t>
      </w:r>
      <w:proofErr w:type="spellEnd"/>
      <w:r>
        <w:rPr>
          <w:rFonts w:ascii="Cambria" w:eastAsia="Cambria" w:hAnsi="Cambria" w:cs="Cambria"/>
        </w:rPr>
        <w:t xml:space="preserve">, S., </w:t>
      </w:r>
      <w:proofErr w:type="spellStart"/>
      <w:r>
        <w:rPr>
          <w:rFonts w:ascii="Cambria" w:eastAsia="Cambria" w:hAnsi="Cambria" w:cs="Cambria"/>
        </w:rPr>
        <w:t>Kravcik</w:t>
      </w:r>
      <w:proofErr w:type="spellEnd"/>
      <w:r>
        <w:rPr>
          <w:rFonts w:ascii="Cambria" w:eastAsia="Cambria" w:hAnsi="Cambria" w:cs="Cambria"/>
        </w:rPr>
        <w:t>,</w:t>
      </w:r>
      <w:r w:rsidR="006000C8">
        <w:rPr>
          <w:rFonts w:ascii="Cambria" w:eastAsia="Cambria" w:hAnsi="Cambria" w:cs="Cambria"/>
        </w:rPr>
        <w:t xml:space="preserve"> M., </w:t>
      </w:r>
      <w:proofErr w:type="spellStart"/>
      <w:r w:rsidR="006000C8">
        <w:rPr>
          <w:rFonts w:ascii="Cambria" w:eastAsia="Cambria" w:hAnsi="Cambria" w:cs="Cambria"/>
        </w:rPr>
        <w:t>Kunzmann</w:t>
      </w:r>
      <w:proofErr w:type="spellEnd"/>
      <w:r w:rsidR="006000C8">
        <w:rPr>
          <w:rFonts w:ascii="Cambria" w:eastAsia="Cambria" w:hAnsi="Cambria" w:cs="Cambria"/>
        </w:rPr>
        <w:t xml:space="preserve">, C., </w:t>
      </w:r>
      <w:proofErr w:type="spellStart"/>
      <w:r w:rsidR="006000C8">
        <w:rPr>
          <w:rFonts w:ascii="Cambria" w:eastAsia="Cambria" w:hAnsi="Cambria" w:cs="Cambria"/>
        </w:rPr>
        <w:t>Pata</w:t>
      </w:r>
      <w:proofErr w:type="spellEnd"/>
      <w:r w:rsidR="006000C8">
        <w:rPr>
          <w:rFonts w:ascii="Cambria" w:eastAsia="Cambria" w:hAnsi="Cambria" w:cs="Cambria"/>
        </w:rPr>
        <w:t>, K.,</w:t>
      </w:r>
      <w:r>
        <w:rPr>
          <w:rFonts w:ascii="Cambria" w:eastAsia="Cambria" w:hAnsi="Cambria" w:cs="Cambria"/>
        </w:rPr>
        <w:t xml:space="preserve"> </w:t>
      </w:r>
      <w:proofErr w:type="spellStart"/>
      <w:r w:rsidR="006000C8">
        <w:rPr>
          <w:rFonts w:ascii="Cambria" w:eastAsia="Cambria" w:hAnsi="Cambria" w:cs="Cambria"/>
        </w:rPr>
        <w:t>Purma</w:t>
      </w:r>
      <w:proofErr w:type="spellEnd"/>
      <w:r w:rsidR="006000C8">
        <w:rPr>
          <w:rFonts w:ascii="Cambria" w:eastAsia="Cambria" w:hAnsi="Cambria" w:cs="Cambria"/>
        </w:rPr>
        <w:t>, J., Sanders, J., Santos, P., Schmidt, A., Al-</w:t>
      </w:r>
      <w:proofErr w:type="spellStart"/>
      <w:r w:rsidR="006000C8">
        <w:rPr>
          <w:rFonts w:ascii="Cambria" w:eastAsia="Cambria" w:hAnsi="Cambria" w:cs="Cambria"/>
        </w:rPr>
        <w:t>Smadi</w:t>
      </w:r>
      <w:proofErr w:type="spellEnd"/>
      <w:r w:rsidR="006000C8">
        <w:rPr>
          <w:rFonts w:ascii="Cambria" w:eastAsia="Cambria" w:hAnsi="Cambria" w:cs="Cambria"/>
        </w:rPr>
        <w:t xml:space="preserve">, M., </w:t>
      </w:r>
      <w:r>
        <w:rPr>
          <w:rFonts w:ascii="Cambria" w:eastAsia="Cambria" w:hAnsi="Cambria" w:cs="Cambria"/>
        </w:rPr>
        <w:t xml:space="preserve">&amp; </w:t>
      </w:r>
      <w:proofErr w:type="spellStart"/>
      <w:r>
        <w:rPr>
          <w:rFonts w:ascii="Cambria" w:eastAsia="Cambria" w:hAnsi="Cambria" w:cs="Cambria"/>
        </w:rPr>
        <w:t>Trattner</w:t>
      </w:r>
      <w:proofErr w:type="spellEnd"/>
      <w:r>
        <w:rPr>
          <w:rFonts w:ascii="Cambria" w:eastAsia="Cambria" w:hAnsi="Cambria" w:cs="Cambria"/>
        </w:rPr>
        <w:t>, C. (2014).</w:t>
      </w:r>
      <w:proofErr w:type="gramEnd"/>
      <w:r>
        <w:rPr>
          <w:rFonts w:ascii="Cambria" w:eastAsia="Cambria" w:hAnsi="Cambria" w:cs="Cambria"/>
        </w:rPr>
        <w:t xml:space="preserve"> Scaling informal learning at the workplace: A model and four designs from a large‐scale design‐based research effort. </w:t>
      </w:r>
      <w:r>
        <w:rPr>
          <w:rFonts w:ascii="Cambria" w:eastAsia="Cambria" w:hAnsi="Cambria" w:cs="Cambria"/>
          <w:i/>
        </w:rPr>
        <w:t>British Journal of Educational Technology</w:t>
      </w:r>
      <w:r w:rsidR="006000C8">
        <w:rPr>
          <w:rFonts w:ascii="Cambria" w:eastAsia="Cambria" w:hAnsi="Cambria" w:cs="Cambria"/>
          <w:i/>
        </w:rPr>
        <w:t xml:space="preserve">, </w:t>
      </w:r>
      <w:r w:rsidR="006000C8" w:rsidRPr="006000C8">
        <w:rPr>
          <w:rFonts w:ascii="Cambria" w:eastAsia="Cambria" w:hAnsi="Cambria" w:cs="Cambria"/>
          <w:i/>
          <w:iCs/>
        </w:rPr>
        <w:t>45</w:t>
      </w:r>
      <w:r w:rsidR="006000C8" w:rsidRPr="006000C8">
        <w:rPr>
          <w:rFonts w:ascii="Cambria" w:eastAsia="Cambria" w:hAnsi="Cambria" w:cs="Cambria"/>
        </w:rPr>
        <w:t>(6), 1036-1048</w:t>
      </w:r>
      <w:r>
        <w:rPr>
          <w:rFonts w:ascii="Cambria" w:eastAsia="Cambria" w:hAnsi="Cambria" w:cs="Cambria"/>
          <w:i/>
        </w:rPr>
        <w:t>.</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lastRenderedPageBreak/>
        <w:t xml:space="preserve">Lucero, M., </w:t>
      </w:r>
      <w:proofErr w:type="spellStart"/>
      <w:r>
        <w:rPr>
          <w:rFonts w:ascii="Cambria" w:eastAsia="Cambria" w:hAnsi="Cambria" w:cs="Cambria"/>
        </w:rPr>
        <w:t>Valcke</w:t>
      </w:r>
      <w:proofErr w:type="spellEnd"/>
      <w:r>
        <w:rPr>
          <w:rFonts w:ascii="Cambria" w:eastAsia="Cambria" w:hAnsi="Cambria" w:cs="Cambria"/>
        </w:rPr>
        <w:t xml:space="preserve">, M., &amp; </w:t>
      </w:r>
      <w:proofErr w:type="spellStart"/>
      <w:r>
        <w:rPr>
          <w:rFonts w:ascii="Cambria" w:eastAsia="Cambria" w:hAnsi="Cambria" w:cs="Cambria"/>
        </w:rPr>
        <w:t>Schellens</w:t>
      </w:r>
      <w:proofErr w:type="spellEnd"/>
      <w:r>
        <w:rPr>
          <w:rFonts w:ascii="Cambria" w:eastAsia="Cambria" w:hAnsi="Cambria" w:cs="Cambria"/>
        </w:rPr>
        <w:t>, T. (2013).</w:t>
      </w:r>
      <w:proofErr w:type="gramEnd"/>
      <w:r>
        <w:rPr>
          <w:rFonts w:ascii="Cambria" w:eastAsia="Cambria" w:hAnsi="Cambria" w:cs="Cambria"/>
        </w:rPr>
        <w:t xml:space="preserve"> </w:t>
      </w:r>
      <w:proofErr w:type="gramStart"/>
      <w:r>
        <w:rPr>
          <w:rFonts w:ascii="Cambria" w:eastAsia="Cambria" w:hAnsi="Cambria" w:cs="Cambria"/>
        </w:rPr>
        <w:t>Teachers' beliefs and self-reported use of inquiry in science education in public primary schools.</w:t>
      </w:r>
      <w:proofErr w:type="gramEnd"/>
      <w:r>
        <w:rPr>
          <w:rFonts w:ascii="Cambria" w:eastAsia="Cambria" w:hAnsi="Cambria" w:cs="Cambria"/>
        </w:rPr>
        <w:t xml:space="preserve"> </w:t>
      </w:r>
      <w:r>
        <w:rPr>
          <w:rFonts w:ascii="Cambria" w:eastAsia="Cambria" w:hAnsi="Cambria" w:cs="Cambria"/>
          <w:i/>
        </w:rPr>
        <w:t>International Journal of Science Education, 35</w:t>
      </w:r>
      <w:r>
        <w:rPr>
          <w:rFonts w:ascii="Cambria" w:eastAsia="Cambria" w:hAnsi="Cambria" w:cs="Cambria"/>
        </w:rPr>
        <w:t>(8), 1407-1423.</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McKenney</w:t>
      </w:r>
      <w:proofErr w:type="spellEnd"/>
      <w:r>
        <w:rPr>
          <w:rFonts w:ascii="Cambria" w:eastAsia="Cambria" w:hAnsi="Cambria" w:cs="Cambria"/>
        </w:rPr>
        <w:t>, S., &amp; Reeves, T. C. (2013).</w:t>
      </w:r>
      <w:proofErr w:type="gramEnd"/>
      <w:r>
        <w:rPr>
          <w:rFonts w:ascii="Cambria" w:eastAsia="Cambria" w:hAnsi="Cambria" w:cs="Cambria"/>
        </w:rPr>
        <w:t xml:space="preserve"> Systematic review of design-based research progress: Is a little knowledge a dangerous thing? </w:t>
      </w:r>
      <w:r>
        <w:rPr>
          <w:rFonts w:ascii="Cambria" w:eastAsia="Cambria" w:hAnsi="Cambria" w:cs="Cambria"/>
          <w:i/>
        </w:rPr>
        <w:t>Educational Researcher, 42</w:t>
      </w:r>
      <w:r>
        <w:rPr>
          <w:rFonts w:ascii="Cambria" w:eastAsia="Cambria" w:hAnsi="Cambria" w:cs="Cambria"/>
        </w:rPr>
        <w:t>(2), 97-100.</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McKenney</w:t>
      </w:r>
      <w:proofErr w:type="spellEnd"/>
      <w:r>
        <w:rPr>
          <w:rFonts w:ascii="Cambria" w:eastAsia="Cambria" w:hAnsi="Cambria" w:cs="Cambria"/>
        </w:rPr>
        <w:t>, S., &amp; Reeves, T. C. (2012).</w:t>
      </w:r>
      <w:proofErr w:type="gramEnd"/>
      <w:r>
        <w:rPr>
          <w:rFonts w:ascii="Cambria" w:eastAsia="Cambria" w:hAnsi="Cambria" w:cs="Cambria"/>
        </w:rPr>
        <w:t xml:space="preserve"> </w:t>
      </w:r>
      <w:proofErr w:type="gramStart"/>
      <w:r>
        <w:rPr>
          <w:rFonts w:ascii="Cambria" w:eastAsia="Cambria" w:hAnsi="Cambria" w:cs="Cambria"/>
          <w:i/>
        </w:rPr>
        <w:t>Conducting Educational Design Research</w:t>
      </w:r>
      <w:r>
        <w:rPr>
          <w:rFonts w:ascii="Cambria" w:eastAsia="Cambria" w:hAnsi="Cambria" w:cs="Cambria"/>
        </w:rPr>
        <w:t>.</w:t>
      </w:r>
      <w:proofErr w:type="gramEnd"/>
      <w:r>
        <w:rPr>
          <w:rFonts w:ascii="Cambria" w:eastAsia="Cambria" w:hAnsi="Cambria" w:cs="Cambria"/>
        </w:rPr>
        <w:t xml:space="preserve"> </w:t>
      </w:r>
      <w:proofErr w:type="gramStart"/>
      <w:r>
        <w:rPr>
          <w:rFonts w:ascii="Cambria" w:eastAsia="Cambria" w:hAnsi="Cambria" w:cs="Cambria"/>
        </w:rPr>
        <w:t>London :</w:t>
      </w:r>
      <w:proofErr w:type="gramEnd"/>
      <w:r>
        <w:rPr>
          <w:rFonts w:ascii="Cambria" w:eastAsia="Cambria" w:hAnsi="Cambria" w:cs="Cambria"/>
        </w:rPr>
        <w:t xml:space="preserve"> </w:t>
      </w:r>
      <w:proofErr w:type="spellStart"/>
      <w:r>
        <w:rPr>
          <w:rFonts w:ascii="Cambria" w:eastAsia="Cambria" w:hAnsi="Cambria" w:cs="Cambria"/>
        </w:rPr>
        <w:t>Routledge</w:t>
      </w:r>
      <w:proofErr w:type="spellEnd"/>
      <w:r>
        <w:rPr>
          <w:rFonts w:ascii="Cambria" w:eastAsia="Cambria" w:hAnsi="Cambria" w:cs="Cambria"/>
        </w:rPr>
        <w:t>.</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McKenney</w:t>
      </w:r>
      <w:proofErr w:type="spellEnd"/>
      <w:r>
        <w:rPr>
          <w:rFonts w:ascii="Cambria" w:eastAsia="Cambria" w:hAnsi="Cambria" w:cs="Cambria"/>
        </w:rPr>
        <w:t>, S., &amp; Reeves, T. C. (2014).</w:t>
      </w:r>
      <w:proofErr w:type="gramEnd"/>
      <w:r>
        <w:rPr>
          <w:rFonts w:ascii="Cambria" w:eastAsia="Cambria" w:hAnsi="Cambria" w:cs="Cambria"/>
        </w:rPr>
        <w:t xml:space="preserve"> </w:t>
      </w:r>
      <w:proofErr w:type="gramStart"/>
      <w:r>
        <w:rPr>
          <w:rFonts w:ascii="Cambria" w:eastAsia="Cambria" w:hAnsi="Cambria" w:cs="Cambria"/>
        </w:rPr>
        <w:t>Educational design research.</w:t>
      </w:r>
      <w:proofErr w:type="gramEnd"/>
      <w:r>
        <w:rPr>
          <w:rFonts w:ascii="Cambria" w:eastAsia="Cambria" w:hAnsi="Cambria" w:cs="Cambria"/>
        </w:rPr>
        <w:t xml:space="preserve"> In </w:t>
      </w:r>
      <w:proofErr w:type="spellStart"/>
      <w:r>
        <w:rPr>
          <w:rFonts w:ascii="Cambria" w:eastAsia="Cambria" w:hAnsi="Cambria" w:cs="Cambria"/>
        </w:rPr>
        <w:t>Spector</w:t>
      </w:r>
      <w:proofErr w:type="spellEnd"/>
      <w:r>
        <w:rPr>
          <w:rFonts w:ascii="Cambria" w:eastAsia="Cambria" w:hAnsi="Cambria" w:cs="Cambria"/>
        </w:rPr>
        <w:t xml:space="preserve">, J. M., Merrill, M. D., &amp; </w:t>
      </w:r>
      <w:proofErr w:type="spellStart"/>
      <w:r>
        <w:rPr>
          <w:rFonts w:ascii="Cambria" w:eastAsia="Cambria" w:hAnsi="Cambria" w:cs="Cambria"/>
        </w:rPr>
        <w:t>Elen</w:t>
      </w:r>
      <w:proofErr w:type="spellEnd"/>
      <w:r>
        <w:rPr>
          <w:rFonts w:ascii="Cambria" w:eastAsia="Cambria" w:hAnsi="Cambria" w:cs="Cambria"/>
        </w:rPr>
        <w:t xml:space="preserve">, J. (Eds.), </w:t>
      </w:r>
      <w:r>
        <w:rPr>
          <w:rFonts w:ascii="Cambria" w:eastAsia="Cambria" w:hAnsi="Cambria" w:cs="Cambria"/>
          <w:i/>
        </w:rPr>
        <w:t>Handbook of Research on Educational Communications and Technology</w:t>
      </w:r>
      <w:r>
        <w:rPr>
          <w:rFonts w:ascii="Cambria" w:eastAsia="Cambria" w:hAnsi="Cambria" w:cs="Cambria"/>
        </w:rPr>
        <w:t>, 4th ed. Lawrence Erlbaum Associates: New York</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Nieveen</w:t>
      </w:r>
      <w:proofErr w:type="spellEnd"/>
      <w:r>
        <w:rPr>
          <w:rFonts w:ascii="Cambria" w:eastAsia="Cambria" w:hAnsi="Cambria" w:cs="Cambria"/>
        </w:rPr>
        <w:t xml:space="preserve">, N., </w:t>
      </w:r>
      <w:proofErr w:type="spellStart"/>
      <w:r>
        <w:rPr>
          <w:rFonts w:ascii="Cambria" w:eastAsia="Cambria" w:hAnsi="Cambria" w:cs="Cambria"/>
        </w:rPr>
        <w:t>McKenney</w:t>
      </w:r>
      <w:proofErr w:type="spellEnd"/>
      <w:r>
        <w:rPr>
          <w:rFonts w:ascii="Cambria" w:eastAsia="Cambria" w:hAnsi="Cambria" w:cs="Cambria"/>
        </w:rPr>
        <w:t>, S., &amp; van den Akker, J. (2006).</w:t>
      </w:r>
      <w:proofErr w:type="gramEnd"/>
      <w:r>
        <w:rPr>
          <w:rFonts w:ascii="Cambria" w:eastAsia="Cambria" w:hAnsi="Cambria" w:cs="Cambria"/>
        </w:rPr>
        <w:t xml:space="preserve"> Educational design research: The value of variety. In J. Van den Akker, K. </w:t>
      </w:r>
      <w:proofErr w:type="spellStart"/>
      <w:r>
        <w:rPr>
          <w:rFonts w:ascii="Cambria" w:eastAsia="Cambria" w:hAnsi="Cambria" w:cs="Cambria"/>
        </w:rPr>
        <w:t>Gravemeijer</w:t>
      </w:r>
      <w:proofErr w:type="spellEnd"/>
      <w:r>
        <w:rPr>
          <w:rFonts w:ascii="Cambria" w:eastAsia="Cambria" w:hAnsi="Cambria" w:cs="Cambria"/>
        </w:rPr>
        <w:t xml:space="preserve">, S. </w:t>
      </w:r>
      <w:proofErr w:type="spellStart"/>
      <w:r>
        <w:rPr>
          <w:rFonts w:ascii="Cambria" w:eastAsia="Cambria" w:hAnsi="Cambria" w:cs="Cambria"/>
        </w:rPr>
        <w:t>McKenney</w:t>
      </w:r>
      <w:proofErr w:type="spellEnd"/>
      <w:r>
        <w:rPr>
          <w:rFonts w:ascii="Cambria" w:eastAsia="Cambria" w:hAnsi="Cambria" w:cs="Cambria"/>
        </w:rPr>
        <w:t xml:space="preserve"> &amp; N. </w:t>
      </w:r>
      <w:proofErr w:type="spellStart"/>
      <w:r>
        <w:rPr>
          <w:rFonts w:ascii="Cambria" w:eastAsia="Cambria" w:hAnsi="Cambria" w:cs="Cambria"/>
        </w:rPr>
        <w:t>Nieveen</w:t>
      </w:r>
      <w:proofErr w:type="spellEnd"/>
      <w:r>
        <w:rPr>
          <w:rFonts w:ascii="Cambria" w:eastAsia="Cambria" w:hAnsi="Cambria" w:cs="Cambria"/>
        </w:rPr>
        <w:t xml:space="preserve"> (Eds.), </w:t>
      </w:r>
      <w:r>
        <w:rPr>
          <w:rFonts w:ascii="Cambria" w:eastAsia="Cambria" w:hAnsi="Cambria" w:cs="Cambria"/>
          <w:i/>
        </w:rPr>
        <w:t>Educational Design Research</w:t>
      </w:r>
      <w:r>
        <w:rPr>
          <w:rFonts w:ascii="Cambria" w:eastAsia="Cambria" w:hAnsi="Cambria" w:cs="Cambria"/>
        </w:rPr>
        <w:t xml:space="preserve"> (pp. 151-158). London: </w:t>
      </w:r>
      <w:proofErr w:type="spellStart"/>
      <w:r>
        <w:rPr>
          <w:rFonts w:ascii="Cambria" w:eastAsia="Cambria" w:hAnsi="Cambria" w:cs="Cambria"/>
        </w:rPr>
        <w:t>Routledge</w:t>
      </w:r>
      <w:proofErr w:type="spellEnd"/>
      <w:r>
        <w:rPr>
          <w:rFonts w:ascii="Cambria" w:eastAsia="Cambria" w:hAnsi="Cambria" w:cs="Cambria"/>
        </w:rPr>
        <w:t>.</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Penuel</w:t>
      </w:r>
      <w:proofErr w:type="spellEnd"/>
      <w:r>
        <w:rPr>
          <w:rFonts w:ascii="Cambria" w:eastAsia="Cambria" w:hAnsi="Cambria" w:cs="Cambria"/>
        </w:rPr>
        <w:t xml:space="preserve">, W. R., Fishman, B. J., Cheng, B. H., &amp; </w:t>
      </w:r>
      <w:proofErr w:type="spellStart"/>
      <w:r>
        <w:rPr>
          <w:rFonts w:ascii="Cambria" w:eastAsia="Cambria" w:hAnsi="Cambria" w:cs="Cambria"/>
        </w:rPr>
        <w:t>Sabelli</w:t>
      </w:r>
      <w:proofErr w:type="spellEnd"/>
      <w:r>
        <w:rPr>
          <w:rFonts w:ascii="Cambria" w:eastAsia="Cambria" w:hAnsi="Cambria" w:cs="Cambria"/>
        </w:rPr>
        <w:t>, N. (2011).</w:t>
      </w:r>
      <w:proofErr w:type="gramEnd"/>
      <w:r>
        <w:rPr>
          <w:rFonts w:ascii="Cambria" w:eastAsia="Cambria" w:hAnsi="Cambria" w:cs="Cambria"/>
        </w:rPr>
        <w:t xml:space="preserve"> </w:t>
      </w:r>
      <w:proofErr w:type="gramStart"/>
      <w:r>
        <w:rPr>
          <w:rFonts w:ascii="Cambria" w:eastAsia="Cambria" w:hAnsi="Cambria" w:cs="Cambria"/>
        </w:rPr>
        <w:t>Organizing research and development at the intersection of learning, implementation, and design.</w:t>
      </w:r>
      <w:proofErr w:type="gramEnd"/>
      <w:r>
        <w:rPr>
          <w:rFonts w:ascii="Cambria" w:eastAsia="Cambria" w:hAnsi="Cambria" w:cs="Cambria"/>
        </w:rPr>
        <w:t xml:space="preserve"> </w:t>
      </w:r>
      <w:r>
        <w:rPr>
          <w:rFonts w:ascii="Cambria" w:eastAsia="Cambria" w:hAnsi="Cambria" w:cs="Cambria"/>
          <w:i/>
        </w:rPr>
        <w:t>Educational Researcher, 40</w:t>
      </w:r>
      <w:r>
        <w:rPr>
          <w:rFonts w:ascii="Cambria" w:eastAsia="Cambria" w:hAnsi="Cambria" w:cs="Cambria"/>
        </w:rPr>
        <w:t>(7), 331-337.</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Raval</w:t>
      </w:r>
      <w:proofErr w:type="spellEnd"/>
      <w:r>
        <w:rPr>
          <w:rFonts w:ascii="Cambria" w:eastAsia="Cambria" w:hAnsi="Cambria" w:cs="Cambria"/>
        </w:rPr>
        <w:t xml:space="preserve">, H., </w:t>
      </w:r>
      <w:proofErr w:type="spellStart"/>
      <w:r>
        <w:rPr>
          <w:rFonts w:ascii="Cambria" w:eastAsia="Cambria" w:hAnsi="Cambria" w:cs="Cambria"/>
        </w:rPr>
        <w:t>McKenney</w:t>
      </w:r>
      <w:proofErr w:type="spellEnd"/>
      <w:r>
        <w:rPr>
          <w:rFonts w:ascii="Cambria" w:eastAsia="Cambria" w:hAnsi="Cambria" w:cs="Cambria"/>
        </w:rPr>
        <w:t xml:space="preserve">, S. &amp; </w:t>
      </w:r>
      <w:proofErr w:type="spellStart"/>
      <w:r>
        <w:rPr>
          <w:rFonts w:ascii="Cambria" w:eastAsia="Cambria" w:hAnsi="Cambria" w:cs="Cambria"/>
        </w:rPr>
        <w:t>Pieters</w:t>
      </w:r>
      <w:proofErr w:type="spellEnd"/>
      <w:r>
        <w:rPr>
          <w:rFonts w:ascii="Cambria" w:eastAsia="Cambria" w:hAnsi="Cambria" w:cs="Cambria"/>
        </w:rPr>
        <w:t>, J. (2010).</w:t>
      </w:r>
      <w:proofErr w:type="gramEnd"/>
      <w:r>
        <w:rPr>
          <w:rFonts w:ascii="Cambria" w:eastAsia="Cambria" w:hAnsi="Cambria" w:cs="Cambria"/>
        </w:rPr>
        <w:t xml:space="preserve"> </w:t>
      </w:r>
      <w:proofErr w:type="gramStart"/>
      <w:r>
        <w:rPr>
          <w:rFonts w:ascii="Cambria" w:eastAsia="Cambria" w:hAnsi="Cambria" w:cs="Cambria"/>
        </w:rPr>
        <w:t xml:space="preserve">A conceptual model for supporting </w:t>
      </w:r>
      <w:proofErr w:type="spellStart"/>
      <w:r>
        <w:rPr>
          <w:rFonts w:ascii="Cambria" w:eastAsia="Cambria" w:hAnsi="Cambria" w:cs="Cambria"/>
        </w:rPr>
        <w:t>para</w:t>
      </w:r>
      <w:proofErr w:type="spellEnd"/>
      <w:r>
        <w:rPr>
          <w:rFonts w:ascii="Cambria" w:eastAsia="Cambria" w:hAnsi="Cambria" w:cs="Cambria"/>
        </w:rPr>
        <w:t>-teacher learning in an Indian NGO.</w:t>
      </w:r>
      <w:proofErr w:type="gramEnd"/>
      <w:r>
        <w:rPr>
          <w:rFonts w:ascii="Cambria" w:eastAsia="Cambria" w:hAnsi="Cambria" w:cs="Cambria"/>
        </w:rPr>
        <w:t xml:space="preserve"> </w:t>
      </w:r>
      <w:r>
        <w:rPr>
          <w:rFonts w:ascii="Cambria" w:eastAsia="Cambria" w:hAnsi="Cambria" w:cs="Cambria"/>
          <w:i/>
        </w:rPr>
        <w:t>Studies in Continuing Education 32</w:t>
      </w:r>
      <w:r>
        <w:rPr>
          <w:rFonts w:ascii="Cambria" w:eastAsia="Cambria" w:hAnsi="Cambria" w:cs="Cambria"/>
        </w:rPr>
        <w:t>(3), 217-234.</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Reeves, T. (2011).</w:t>
      </w:r>
      <w:proofErr w:type="gramEnd"/>
      <w:r>
        <w:rPr>
          <w:rFonts w:ascii="Cambria" w:eastAsia="Cambria" w:hAnsi="Cambria" w:cs="Cambria"/>
        </w:rPr>
        <w:t xml:space="preserve"> Can educational research be both rigorous and relevant? </w:t>
      </w:r>
      <w:proofErr w:type="gramStart"/>
      <w:r>
        <w:rPr>
          <w:rFonts w:ascii="Cambria" w:eastAsia="Cambria" w:hAnsi="Cambria" w:cs="Cambria"/>
          <w:i/>
        </w:rPr>
        <w:t>Educational Designer, 1</w:t>
      </w:r>
      <w:r>
        <w:rPr>
          <w:rFonts w:ascii="Cambria" w:eastAsia="Cambria" w:hAnsi="Cambria" w:cs="Cambria"/>
        </w:rPr>
        <w:t>(4).</w:t>
      </w:r>
      <w:proofErr w:type="gramEnd"/>
      <w:r>
        <w:rPr>
          <w:rFonts w:ascii="Cambria" w:eastAsia="Cambria" w:hAnsi="Cambria" w:cs="Cambria"/>
        </w:rPr>
        <w:t xml:space="preserve"> Retrieved from http://www.educationaldesigner.org/ed/volume1/issue4/article13 </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Reeves, T. C., Herrington, J., &amp; Oliver, R. (2005).</w:t>
      </w:r>
      <w:proofErr w:type="gramEnd"/>
      <w:r>
        <w:rPr>
          <w:rFonts w:ascii="Cambria" w:eastAsia="Cambria" w:hAnsi="Cambria" w:cs="Cambria"/>
        </w:rPr>
        <w:t xml:space="preserve"> Design research: A socially responsible approach to instructional technology research in higher education. </w:t>
      </w:r>
      <w:proofErr w:type="gramStart"/>
      <w:r>
        <w:rPr>
          <w:rFonts w:ascii="Cambria" w:eastAsia="Cambria" w:hAnsi="Cambria" w:cs="Cambria"/>
          <w:i/>
        </w:rPr>
        <w:t>Journal of Computing in Higher Education, 16</w:t>
      </w:r>
      <w:r>
        <w:rPr>
          <w:rFonts w:ascii="Cambria" w:eastAsia="Cambria" w:hAnsi="Cambria" w:cs="Cambria"/>
        </w:rPr>
        <w:t>(2), 96-115.</w:t>
      </w:r>
      <w:proofErr w:type="gramEnd"/>
    </w:p>
    <w:p w:rsidR="00F3192A" w:rsidRDefault="00F3192A">
      <w:pPr>
        <w:pStyle w:val="normal0"/>
        <w:ind w:left="720" w:hanging="719"/>
      </w:pPr>
    </w:p>
    <w:p w:rsidR="00F3192A" w:rsidRDefault="00C0267A">
      <w:pPr>
        <w:pStyle w:val="normal0"/>
        <w:ind w:left="720" w:hanging="719"/>
      </w:pPr>
      <w:proofErr w:type="spellStart"/>
      <w:r>
        <w:rPr>
          <w:rFonts w:ascii="Cambria" w:eastAsia="Cambria" w:hAnsi="Cambria" w:cs="Cambria"/>
        </w:rPr>
        <w:t>Reimann</w:t>
      </w:r>
      <w:proofErr w:type="spellEnd"/>
      <w:r>
        <w:rPr>
          <w:rFonts w:ascii="Cambria" w:eastAsia="Cambria" w:hAnsi="Cambria" w:cs="Cambria"/>
        </w:rPr>
        <w:t xml:space="preserve">, P. (2011). </w:t>
      </w:r>
      <w:proofErr w:type="gramStart"/>
      <w:r>
        <w:rPr>
          <w:rFonts w:ascii="Cambria" w:eastAsia="Cambria" w:hAnsi="Cambria" w:cs="Cambria"/>
        </w:rPr>
        <w:t>Design-based research.</w:t>
      </w:r>
      <w:proofErr w:type="gramEnd"/>
      <w:r>
        <w:rPr>
          <w:rFonts w:ascii="Cambria" w:eastAsia="Cambria" w:hAnsi="Cambria" w:cs="Cambria"/>
        </w:rPr>
        <w:t xml:space="preserve"> In </w:t>
      </w:r>
      <w:r>
        <w:rPr>
          <w:rFonts w:ascii="Cambria" w:eastAsia="Cambria" w:hAnsi="Cambria" w:cs="Cambria"/>
          <w:i/>
        </w:rPr>
        <w:t>Methodological Choice and Design</w:t>
      </w:r>
      <w:r>
        <w:rPr>
          <w:rFonts w:ascii="Cambria" w:eastAsia="Cambria" w:hAnsi="Cambria" w:cs="Cambria"/>
        </w:rPr>
        <w:t xml:space="preserve"> (pp. 37-50). </w:t>
      </w:r>
      <w:proofErr w:type="gramStart"/>
      <w:r>
        <w:rPr>
          <w:rFonts w:ascii="Cambria" w:eastAsia="Cambria" w:hAnsi="Cambria" w:cs="Cambria"/>
        </w:rPr>
        <w:t>Springer Netherlands.</w:t>
      </w:r>
      <w:proofErr w:type="gramEnd"/>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Richey, R. C., &amp; Klein, J. D. (2014).</w:t>
      </w:r>
      <w:proofErr w:type="gramEnd"/>
      <w:r>
        <w:rPr>
          <w:rFonts w:ascii="Cambria" w:eastAsia="Cambria" w:hAnsi="Cambria" w:cs="Cambria"/>
        </w:rPr>
        <w:t xml:space="preserve"> </w:t>
      </w:r>
      <w:proofErr w:type="gramStart"/>
      <w:r>
        <w:rPr>
          <w:rFonts w:ascii="Cambria" w:eastAsia="Cambria" w:hAnsi="Cambria" w:cs="Cambria"/>
        </w:rPr>
        <w:t>Design and development research.</w:t>
      </w:r>
      <w:proofErr w:type="gramEnd"/>
      <w:r>
        <w:rPr>
          <w:rFonts w:ascii="Cambria" w:eastAsia="Cambria" w:hAnsi="Cambria" w:cs="Cambria"/>
        </w:rPr>
        <w:t xml:space="preserve"> </w:t>
      </w:r>
      <w:proofErr w:type="gramStart"/>
      <w:r>
        <w:rPr>
          <w:rFonts w:ascii="Cambria" w:eastAsia="Cambria" w:hAnsi="Cambria" w:cs="Cambria"/>
        </w:rPr>
        <w:t xml:space="preserve">In </w:t>
      </w:r>
      <w:r>
        <w:rPr>
          <w:rFonts w:ascii="Cambria" w:eastAsia="Cambria" w:hAnsi="Cambria" w:cs="Cambria"/>
          <w:i/>
        </w:rPr>
        <w:t>Handbook of Research on Educational Communications and Technology</w:t>
      </w:r>
      <w:r>
        <w:rPr>
          <w:rFonts w:ascii="Cambria" w:eastAsia="Cambria" w:hAnsi="Cambria" w:cs="Cambria"/>
        </w:rPr>
        <w:t xml:space="preserve"> (pp. 141-150).</w:t>
      </w:r>
      <w:proofErr w:type="gramEnd"/>
      <w:r>
        <w:rPr>
          <w:rFonts w:ascii="Cambria" w:eastAsia="Cambria" w:hAnsi="Cambria" w:cs="Cambria"/>
        </w:rPr>
        <w:t xml:space="preserve"> </w:t>
      </w:r>
      <w:proofErr w:type="gramStart"/>
      <w:r>
        <w:rPr>
          <w:rFonts w:ascii="Cambria" w:eastAsia="Cambria" w:hAnsi="Cambria" w:cs="Cambria"/>
        </w:rPr>
        <w:t>Springer New York.</w:t>
      </w:r>
      <w:proofErr w:type="gramEnd"/>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t>Sandoval, W. (2013).</w:t>
      </w:r>
      <w:proofErr w:type="gramEnd"/>
      <w:r>
        <w:rPr>
          <w:rFonts w:ascii="Cambria" w:eastAsia="Cambria" w:hAnsi="Cambria" w:cs="Cambria"/>
        </w:rPr>
        <w:t xml:space="preserve"> Conjecture mapping: an approach to systematic educational design research. </w:t>
      </w:r>
      <w:r>
        <w:rPr>
          <w:rFonts w:ascii="Cambria" w:eastAsia="Cambria" w:hAnsi="Cambria" w:cs="Cambria"/>
          <w:i/>
        </w:rPr>
        <w:t>Journal of the Learning Sciences</w:t>
      </w:r>
      <w:r>
        <w:rPr>
          <w:rFonts w:ascii="Cambria" w:eastAsia="Cambria" w:hAnsi="Cambria" w:cs="Cambria"/>
        </w:rPr>
        <w:t>, 23(1), 1-19.</w:t>
      </w:r>
    </w:p>
    <w:p w:rsidR="00F3192A" w:rsidRDefault="00F3192A">
      <w:pPr>
        <w:pStyle w:val="normal0"/>
        <w:ind w:left="720" w:hanging="719"/>
      </w:pPr>
    </w:p>
    <w:p w:rsidR="00F3192A" w:rsidRDefault="00C0267A">
      <w:pPr>
        <w:pStyle w:val="normal0"/>
        <w:ind w:left="720" w:hanging="719"/>
      </w:pPr>
      <w:proofErr w:type="spellStart"/>
      <w:proofErr w:type="gramStart"/>
      <w:r>
        <w:rPr>
          <w:rFonts w:ascii="Cambria" w:eastAsia="Cambria" w:hAnsi="Cambria" w:cs="Cambria"/>
        </w:rPr>
        <w:t>Shavelson</w:t>
      </w:r>
      <w:proofErr w:type="spellEnd"/>
      <w:r>
        <w:rPr>
          <w:rFonts w:ascii="Cambria" w:eastAsia="Cambria" w:hAnsi="Cambria" w:cs="Cambria"/>
        </w:rPr>
        <w:t xml:space="preserve">, R. J., Phillips, D. C., Towne, L., &amp; </w:t>
      </w:r>
      <w:proofErr w:type="spellStart"/>
      <w:r>
        <w:rPr>
          <w:rFonts w:ascii="Cambria" w:eastAsia="Cambria" w:hAnsi="Cambria" w:cs="Cambria"/>
        </w:rPr>
        <w:t>Feuer</w:t>
      </w:r>
      <w:proofErr w:type="spellEnd"/>
      <w:r>
        <w:rPr>
          <w:rFonts w:ascii="Cambria" w:eastAsia="Cambria" w:hAnsi="Cambria" w:cs="Cambria"/>
        </w:rPr>
        <w:t>, M. J. (2003).</w:t>
      </w:r>
      <w:proofErr w:type="gramEnd"/>
      <w:r>
        <w:rPr>
          <w:rFonts w:ascii="Cambria" w:eastAsia="Cambria" w:hAnsi="Cambria" w:cs="Cambria"/>
        </w:rPr>
        <w:t xml:space="preserve"> </w:t>
      </w:r>
      <w:proofErr w:type="gramStart"/>
      <w:r>
        <w:rPr>
          <w:rFonts w:ascii="Cambria" w:eastAsia="Cambria" w:hAnsi="Cambria" w:cs="Cambria"/>
        </w:rPr>
        <w:t>On the science of education design studies.</w:t>
      </w:r>
      <w:proofErr w:type="gramEnd"/>
      <w:r>
        <w:rPr>
          <w:rFonts w:ascii="Cambria" w:eastAsia="Cambria" w:hAnsi="Cambria" w:cs="Cambria"/>
        </w:rPr>
        <w:t xml:space="preserve"> </w:t>
      </w:r>
      <w:proofErr w:type="gramStart"/>
      <w:r>
        <w:rPr>
          <w:rFonts w:ascii="Cambria" w:eastAsia="Cambria" w:hAnsi="Cambria" w:cs="Cambria"/>
          <w:i/>
        </w:rPr>
        <w:t>Educational Researcher, 32</w:t>
      </w:r>
      <w:r>
        <w:rPr>
          <w:rFonts w:ascii="Cambria" w:eastAsia="Cambria" w:hAnsi="Cambria" w:cs="Cambria"/>
        </w:rPr>
        <w:t>(1), 25 -28.</w:t>
      </w:r>
      <w:proofErr w:type="gramEnd"/>
      <w:r>
        <w:rPr>
          <w:rFonts w:ascii="Cambria" w:eastAsia="Cambria" w:hAnsi="Cambria" w:cs="Cambria"/>
        </w:rPr>
        <w:t xml:space="preserve"> </w:t>
      </w:r>
    </w:p>
    <w:p w:rsidR="00F3192A" w:rsidRDefault="00F3192A">
      <w:pPr>
        <w:pStyle w:val="normal0"/>
        <w:ind w:left="720" w:hanging="719"/>
      </w:pPr>
    </w:p>
    <w:p w:rsidR="00F3192A" w:rsidRDefault="00C0267A">
      <w:pPr>
        <w:pStyle w:val="normal0"/>
        <w:ind w:left="720" w:hanging="719"/>
      </w:pPr>
      <w:proofErr w:type="gramStart"/>
      <w:r>
        <w:rPr>
          <w:rFonts w:ascii="Cambria" w:eastAsia="Cambria" w:hAnsi="Cambria" w:cs="Cambria"/>
        </w:rPr>
        <w:lastRenderedPageBreak/>
        <w:t>van</w:t>
      </w:r>
      <w:proofErr w:type="gramEnd"/>
      <w:r>
        <w:rPr>
          <w:rFonts w:ascii="Cambria" w:eastAsia="Cambria" w:hAnsi="Cambria" w:cs="Cambria"/>
        </w:rPr>
        <w:t xml:space="preserve"> den Akker, J., </w:t>
      </w:r>
      <w:proofErr w:type="spellStart"/>
      <w:r>
        <w:rPr>
          <w:rFonts w:ascii="Cambria" w:eastAsia="Cambria" w:hAnsi="Cambria" w:cs="Cambria"/>
        </w:rPr>
        <w:t>Gravemeijer</w:t>
      </w:r>
      <w:proofErr w:type="spellEnd"/>
      <w:r>
        <w:rPr>
          <w:rFonts w:ascii="Cambria" w:eastAsia="Cambria" w:hAnsi="Cambria" w:cs="Cambria"/>
        </w:rPr>
        <w:t xml:space="preserve">, K., </w:t>
      </w:r>
      <w:proofErr w:type="spellStart"/>
      <w:r>
        <w:rPr>
          <w:rFonts w:ascii="Cambria" w:eastAsia="Cambria" w:hAnsi="Cambria" w:cs="Cambria"/>
        </w:rPr>
        <w:t>McKenney</w:t>
      </w:r>
      <w:proofErr w:type="spellEnd"/>
      <w:r>
        <w:rPr>
          <w:rFonts w:ascii="Cambria" w:eastAsia="Cambria" w:hAnsi="Cambria" w:cs="Cambria"/>
        </w:rPr>
        <w:t xml:space="preserve">, S., &amp; </w:t>
      </w:r>
      <w:proofErr w:type="spellStart"/>
      <w:r>
        <w:rPr>
          <w:rFonts w:ascii="Cambria" w:eastAsia="Cambria" w:hAnsi="Cambria" w:cs="Cambria"/>
        </w:rPr>
        <w:t>Nieveen</w:t>
      </w:r>
      <w:proofErr w:type="spellEnd"/>
      <w:r>
        <w:rPr>
          <w:rFonts w:ascii="Cambria" w:eastAsia="Cambria" w:hAnsi="Cambria" w:cs="Cambria"/>
        </w:rPr>
        <w:t xml:space="preserve">, N. (2006). </w:t>
      </w:r>
      <w:proofErr w:type="gramStart"/>
      <w:r>
        <w:rPr>
          <w:rFonts w:ascii="Cambria" w:eastAsia="Cambria" w:hAnsi="Cambria" w:cs="Cambria"/>
        </w:rPr>
        <w:t>Introducing Educational Design Research.</w:t>
      </w:r>
      <w:proofErr w:type="gramEnd"/>
      <w:r>
        <w:rPr>
          <w:rFonts w:ascii="Cambria" w:eastAsia="Cambria" w:hAnsi="Cambria" w:cs="Cambria"/>
        </w:rPr>
        <w:t xml:space="preserve"> In J. Van den Akker, K. </w:t>
      </w:r>
      <w:proofErr w:type="spellStart"/>
      <w:r>
        <w:rPr>
          <w:rFonts w:ascii="Cambria" w:eastAsia="Cambria" w:hAnsi="Cambria" w:cs="Cambria"/>
        </w:rPr>
        <w:t>Gravemeijer</w:t>
      </w:r>
      <w:proofErr w:type="spellEnd"/>
      <w:r>
        <w:rPr>
          <w:rFonts w:ascii="Cambria" w:eastAsia="Cambria" w:hAnsi="Cambria" w:cs="Cambria"/>
        </w:rPr>
        <w:t xml:space="preserve">, S. </w:t>
      </w:r>
      <w:proofErr w:type="spellStart"/>
      <w:r>
        <w:rPr>
          <w:rFonts w:ascii="Cambria" w:eastAsia="Cambria" w:hAnsi="Cambria" w:cs="Cambria"/>
        </w:rPr>
        <w:t>McKenney</w:t>
      </w:r>
      <w:proofErr w:type="spellEnd"/>
      <w:r>
        <w:rPr>
          <w:rFonts w:ascii="Cambria" w:eastAsia="Cambria" w:hAnsi="Cambria" w:cs="Cambria"/>
        </w:rPr>
        <w:t xml:space="preserve"> &amp; N. </w:t>
      </w:r>
      <w:proofErr w:type="spellStart"/>
      <w:r>
        <w:rPr>
          <w:rFonts w:ascii="Cambria" w:eastAsia="Cambria" w:hAnsi="Cambria" w:cs="Cambria"/>
        </w:rPr>
        <w:t>Nieveen</w:t>
      </w:r>
      <w:proofErr w:type="spellEnd"/>
      <w:r>
        <w:rPr>
          <w:rFonts w:ascii="Cambria" w:eastAsia="Cambria" w:hAnsi="Cambria" w:cs="Cambria"/>
        </w:rPr>
        <w:t xml:space="preserve"> (Eds.), </w:t>
      </w:r>
      <w:r>
        <w:rPr>
          <w:rFonts w:ascii="Cambria" w:eastAsia="Cambria" w:hAnsi="Cambria" w:cs="Cambria"/>
          <w:i/>
        </w:rPr>
        <w:t>Educational Design Research</w:t>
      </w:r>
      <w:r>
        <w:rPr>
          <w:rFonts w:ascii="Cambria" w:eastAsia="Cambria" w:hAnsi="Cambria" w:cs="Cambria"/>
        </w:rPr>
        <w:t xml:space="preserve"> (pp. 3-7). London: </w:t>
      </w:r>
      <w:proofErr w:type="spellStart"/>
      <w:r>
        <w:rPr>
          <w:rFonts w:ascii="Cambria" w:eastAsia="Cambria" w:hAnsi="Cambria" w:cs="Cambria"/>
        </w:rPr>
        <w:t>Routledge</w:t>
      </w:r>
      <w:proofErr w:type="spellEnd"/>
      <w:r>
        <w:rPr>
          <w:rFonts w:ascii="Cambria" w:eastAsia="Cambria" w:hAnsi="Cambria" w:cs="Cambria"/>
        </w:rPr>
        <w:t>.</w:t>
      </w:r>
    </w:p>
    <w:p w:rsidR="00F3192A" w:rsidRDefault="00F3192A">
      <w:pPr>
        <w:pStyle w:val="normal0"/>
      </w:pPr>
    </w:p>
    <w:p w:rsidR="00F3192A" w:rsidRDefault="00C0267A">
      <w:pPr>
        <w:pStyle w:val="normal0"/>
        <w:ind w:left="720" w:hanging="719"/>
      </w:pPr>
      <w:proofErr w:type="gramStart"/>
      <w:r>
        <w:rPr>
          <w:rFonts w:ascii="Cambria" w:eastAsia="Cambria" w:hAnsi="Cambria" w:cs="Cambria"/>
        </w:rPr>
        <w:t>Winn, W. (2003).</w:t>
      </w:r>
      <w:proofErr w:type="gramEnd"/>
      <w:r>
        <w:rPr>
          <w:rFonts w:ascii="Cambria" w:eastAsia="Cambria" w:hAnsi="Cambria" w:cs="Cambria"/>
        </w:rPr>
        <w:t xml:space="preserve"> </w:t>
      </w:r>
      <w:proofErr w:type="gramStart"/>
      <w:r>
        <w:rPr>
          <w:rFonts w:ascii="Cambria" w:eastAsia="Cambria" w:hAnsi="Cambria" w:cs="Cambria"/>
        </w:rPr>
        <w:t>Research methods and types of evidence for research in educational technology.</w:t>
      </w:r>
      <w:proofErr w:type="gramEnd"/>
      <w:r>
        <w:rPr>
          <w:rFonts w:ascii="Cambria" w:eastAsia="Cambria" w:hAnsi="Cambria" w:cs="Cambria"/>
        </w:rPr>
        <w:t xml:space="preserve"> </w:t>
      </w:r>
      <w:r>
        <w:rPr>
          <w:rFonts w:ascii="Cambria" w:eastAsia="Cambria" w:hAnsi="Cambria" w:cs="Cambria"/>
          <w:i/>
        </w:rPr>
        <w:t>Educational Psychology Review, 15</w:t>
      </w:r>
      <w:r>
        <w:rPr>
          <w:rFonts w:ascii="Cambria" w:eastAsia="Cambria" w:hAnsi="Cambria" w:cs="Cambria"/>
        </w:rPr>
        <w:t>(4), 367-373.</w:t>
      </w:r>
    </w:p>
    <w:p w:rsidR="00F3192A" w:rsidRDefault="00F3192A">
      <w:pPr>
        <w:pStyle w:val="normal0"/>
      </w:pPr>
    </w:p>
    <w:sectPr w:rsidR="00F3192A" w:rsidSect="002A414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C5"/>
    <w:multiLevelType w:val="multilevel"/>
    <w:tmpl w:val="CE6CC2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51E63581"/>
    <w:multiLevelType w:val="multilevel"/>
    <w:tmpl w:val="946A4B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F3192A"/>
    <w:rsid w:val="001C6D42"/>
    <w:rsid w:val="002A414C"/>
    <w:rsid w:val="002B31B2"/>
    <w:rsid w:val="006000C8"/>
    <w:rsid w:val="00B76CB9"/>
    <w:rsid w:val="00C0267A"/>
    <w:rsid w:val="00F319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4C"/>
  </w:style>
  <w:style w:type="paragraph" w:styleId="Heading1">
    <w:name w:val="heading 1"/>
    <w:basedOn w:val="normal0"/>
    <w:next w:val="normal0"/>
    <w:rsid w:val="002A414C"/>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rsid w:val="002A414C"/>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rsid w:val="002A414C"/>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2A414C"/>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2A414C"/>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2A414C"/>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414C"/>
  </w:style>
  <w:style w:type="paragraph" w:styleId="Title">
    <w:name w:val="Title"/>
    <w:basedOn w:val="normal0"/>
    <w:next w:val="normal0"/>
    <w:rsid w:val="002A414C"/>
    <w:pPr>
      <w:keepNext/>
      <w:keepLines/>
    </w:pPr>
    <w:rPr>
      <w:rFonts w:ascii="Trebuchet MS" w:eastAsia="Trebuchet MS" w:hAnsi="Trebuchet MS" w:cs="Trebuchet MS"/>
      <w:sz w:val="42"/>
    </w:rPr>
  </w:style>
  <w:style w:type="paragraph" w:styleId="Subtitle">
    <w:name w:val="Subtitle"/>
    <w:basedOn w:val="normal0"/>
    <w:next w:val="normal0"/>
    <w:rsid w:val="002A414C"/>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000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0C8"/>
    <w:rPr>
      <w:rFonts w:ascii="Lucida Grande" w:hAnsi="Lucida Grande" w:cs="Lucida Grande"/>
      <w:sz w:val="18"/>
      <w:szCs w:val="18"/>
    </w:rPr>
  </w:style>
  <w:style w:type="table" w:styleId="TableGrid">
    <w:name w:val="Table Grid"/>
    <w:basedOn w:val="TableNormal"/>
    <w:uiPriority w:val="59"/>
    <w:rsid w:val="00B76C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000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0C8"/>
    <w:rPr>
      <w:rFonts w:ascii="Lucida Grande" w:hAnsi="Lucida Grande" w:cs="Lucida Grande"/>
      <w:sz w:val="18"/>
      <w:szCs w:val="18"/>
    </w:rPr>
  </w:style>
  <w:style w:type="table" w:styleId="TableGrid">
    <w:name w:val="Table Grid"/>
    <w:basedOn w:val="TableNormal"/>
    <w:uiPriority w:val="59"/>
    <w:rsid w:val="00B76C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212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jkopcha@ug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jkopcha@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kopcha@uga.edu"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S.E.Mckenney@utwente.nl" TargetMode="External"/><Relationship Id="rId4" Type="http://schemas.openxmlformats.org/officeDocument/2006/relationships/webSettings" Target="webSettings.xml"/><Relationship Id="rId9" Type="http://schemas.openxmlformats.org/officeDocument/2006/relationships/hyperlink" Target="mailto:matthew.schmidt@hawaii.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1854</Words>
  <Characters>10572</Characters>
  <Application>Microsoft Office Word</Application>
  <DocSecurity>0</DocSecurity>
  <Lines>88</Lines>
  <Paragraphs>24</Paragraphs>
  <ScaleCrop>false</ScaleCrop>
  <Company>UGA</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AJET_CFP_011114.docx</dc:title>
  <cp:lastModifiedBy>Ascilite</cp:lastModifiedBy>
  <cp:revision>6</cp:revision>
  <dcterms:created xsi:type="dcterms:W3CDTF">2014-11-03T14:55:00Z</dcterms:created>
  <dcterms:modified xsi:type="dcterms:W3CDTF">2014-11-10T01:21:00Z</dcterms:modified>
</cp:coreProperties>
</file>